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6D" w:rsidRPr="00C45864" w:rsidRDefault="003779AA" w:rsidP="00AF62AD">
      <w:pPr>
        <w:ind w:left="-567" w:right="-709" w:hanging="142"/>
        <w:rPr>
          <w:rFonts w:cs="Times New Roman"/>
          <w:sz w:val="24"/>
        </w:rPr>
      </w:pPr>
      <w:r w:rsidRPr="00C45864">
        <w:rPr>
          <w:rFonts w:cs="Times New Roman"/>
          <w:b/>
          <w:sz w:val="24"/>
        </w:rPr>
        <w:t>Annex</w:t>
      </w:r>
      <w:r w:rsidRPr="00C45864">
        <w:rPr>
          <w:rFonts w:cs="Times New Roman"/>
          <w:b/>
          <w:sz w:val="24"/>
        </w:rPr>
        <w:t>e n°</w:t>
      </w:r>
      <w:r w:rsidRPr="00C45864">
        <w:rPr>
          <w:rFonts w:cs="Times New Roman"/>
          <w:b/>
          <w:sz w:val="24"/>
        </w:rPr>
        <w:t xml:space="preserve">3 </w:t>
      </w:r>
      <w:r w:rsidRPr="00C45864">
        <w:rPr>
          <w:b/>
          <w:sz w:val="24"/>
        </w:rPr>
        <w:t>– dossier d’accréditation, 2</w:t>
      </w:r>
      <w:r w:rsidRPr="00C45864">
        <w:rPr>
          <w:b/>
          <w:sz w:val="24"/>
          <w:vertAlign w:val="superscript"/>
        </w:rPr>
        <w:t>e</w:t>
      </w:r>
      <w:r w:rsidRPr="00C45864">
        <w:rPr>
          <w:b/>
          <w:sz w:val="24"/>
        </w:rPr>
        <w:t xml:space="preserve"> partie</w:t>
      </w:r>
      <w:r w:rsidRPr="00C45864">
        <w:rPr>
          <w:rFonts w:cs="Times New Roman"/>
          <w:sz w:val="24"/>
        </w:rPr>
        <w:t>:</w:t>
      </w:r>
      <w:r w:rsidRPr="00C45864">
        <w:rPr>
          <w:rFonts w:cs="Times New Roman"/>
          <w:sz w:val="24"/>
        </w:rPr>
        <w:t xml:space="preserve"> </w:t>
      </w:r>
      <w:r w:rsidRPr="00C45864">
        <w:rPr>
          <w:rFonts w:cs="Times New Roman"/>
          <w:sz w:val="24"/>
        </w:rPr>
        <w:t xml:space="preserve"> </w:t>
      </w:r>
      <w:r w:rsidRPr="00C45864">
        <w:rPr>
          <w:rFonts w:cs="Times New Roman"/>
          <w:sz w:val="24"/>
        </w:rPr>
        <w:t>BILAN – PERSPECTIVE</w:t>
      </w:r>
      <w:r w:rsidRPr="00C45864">
        <w:rPr>
          <w:rFonts w:cs="Times New Roman"/>
          <w:sz w:val="24"/>
        </w:rPr>
        <w:t xml:space="preserve"> – tableau</w:t>
      </w:r>
      <w:r w:rsidRPr="00C45864">
        <w:rPr>
          <w:rFonts w:cs="Times New Roman"/>
          <w:sz w:val="24"/>
        </w:rPr>
        <w:t xml:space="preserve"> </w:t>
      </w:r>
      <w:r w:rsidRPr="00C45864">
        <w:rPr>
          <w:rFonts w:cs="Times New Roman"/>
          <w:sz w:val="24"/>
        </w:rPr>
        <w:t>synthétique</w:t>
      </w:r>
    </w:p>
    <w:p w:rsidR="009252FF" w:rsidRPr="00C45864" w:rsidRDefault="003779AA" w:rsidP="004765BB">
      <w:pPr>
        <w:ind w:left="-709" w:right="-709"/>
        <w:rPr>
          <w:rFonts w:cs="Times New Roman"/>
          <w:i/>
          <w:color w:val="FF0000"/>
          <w:sz w:val="20"/>
          <w:szCs w:val="20"/>
        </w:rPr>
      </w:pPr>
      <w:r w:rsidRPr="00C45864">
        <w:rPr>
          <w:rFonts w:cs="Times New Roman"/>
          <w:sz w:val="24"/>
        </w:rPr>
        <w:t>P</w:t>
      </w:r>
      <w:r w:rsidRPr="00C45864">
        <w:rPr>
          <w:rFonts w:cs="Times New Roman"/>
          <w:sz w:val="24"/>
        </w:rPr>
        <w:t xml:space="preserve">our chacun des items du tableau, </w:t>
      </w:r>
      <w:r w:rsidRPr="00C45864">
        <w:rPr>
          <w:rFonts w:cs="Times New Roman"/>
          <w:sz w:val="24"/>
        </w:rPr>
        <w:t xml:space="preserve">l’établissement positionne la maturité de ses </w:t>
      </w:r>
      <w:r w:rsidRPr="00C45864">
        <w:rPr>
          <w:rFonts w:cs="Times New Roman"/>
          <w:sz w:val="24"/>
        </w:rPr>
        <w:t>politiques</w:t>
      </w:r>
      <w:r w:rsidRPr="00C45864">
        <w:rPr>
          <w:rFonts w:cs="Times New Roman"/>
          <w:sz w:val="24"/>
        </w:rPr>
        <w:t xml:space="preserve"> ou dispositifs</w:t>
      </w:r>
      <w:r w:rsidRPr="00C45864">
        <w:rPr>
          <w:rFonts w:cs="Times New Roman"/>
          <w:sz w:val="24"/>
        </w:rPr>
        <w:t xml:space="preserve"> sur</w:t>
      </w:r>
      <w:r w:rsidRPr="00C45864">
        <w:rPr>
          <w:rFonts w:cs="Times New Roman"/>
          <w:sz w:val="24"/>
        </w:rPr>
        <w:t xml:space="preserve"> une échelle de 1 à 5 (du moins satisfaisant au plus sa</w:t>
      </w:r>
      <w:r w:rsidRPr="00C45864">
        <w:rPr>
          <w:rFonts w:cs="Times New Roman"/>
          <w:sz w:val="24"/>
        </w:rPr>
        <w:t>tisfaisant)</w:t>
      </w:r>
      <w:r w:rsidRPr="00C45864">
        <w:rPr>
          <w:rFonts w:cs="Times New Roman"/>
          <w:sz w:val="24"/>
        </w:rPr>
        <w:t xml:space="preserve">. Il y ajoute un commentaire </w:t>
      </w:r>
      <w:r w:rsidRPr="00C45864">
        <w:rPr>
          <w:rFonts w:cs="Times New Roman"/>
          <w:color w:val="000000"/>
          <w:sz w:val="24"/>
        </w:rPr>
        <w:t>ainsi que les actions, modalités de pilotage et soutenabilité envisagé</w:t>
      </w:r>
      <w:r w:rsidRPr="00C45864">
        <w:rPr>
          <w:rFonts w:cs="Times New Roman"/>
          <w:color w:val="000000"/>
          <w:sz w:val="24"/>
        </w:rPr>
        <w:t>e</w:t>
      </w:r>
      <w:r w:rsidRPr="00C45864">
        <w:rPr>
          <w:rFonts w:cs="Times New Roman"/>
          <w:color w:val="000000"/>
          <w:sz w:val="24"/>
        </w:rPr>
        <w:t>s durant la période d’accréditation</w:t>
      </w:r>
      <w:r w:rsidRPr="00C45864">
        <w:rPr>
          <w:rFonts w:cs="Times New Roman"/>
          <w:color w:val="000000"/>
          <w:sz w:val="24"/>
        </w:rPr>
        <w:t>.</w:t>
      </w:r>
      <w:r w:rsidRPr="00C45864">
        <w:rPr>
          <w:rFonts w:cs="Times New Roman"/>
          <w:color w:val="000000"/>
          <w:sz w:val="24"/>
        </w:rPr>
        <w:t xml:space="preserve"> Le cas échéant, indiquer « </w:t>
      </w:r>
      <w:r w:rsidRPr="00C45864">
        <w:rPr>
          <w:rFonts w:cs="Times New Roman"/>
          <w:i/>
          <w:color w:val="000000"/>
          <w:sz w:val="24"/>
        </w:rPr>
        <w:t>sans objet »</w:t>
      </w:r>
      <w:r w:rsidRPr="00C45864">
        <w:rPr>
          <w:rFonts w:cs="Times New Roman"/>
          <w:color w:val="000000"/>
          <w:sz w:val="24"/>
        </w:rPr>
        <w:t xml:space="preserve">.  </w:t>
      </w:r>
    </w:p>
    <w:p w:rsidR="00707E6D" w:rsidRPr="00C45864" w:rsidRDefault="003779AA" w:rsidP="00707E6D">
      <w:pPr>
        <w:rPr>
          <w:rFonts w:cs="Times New Roman"/>
          <w:b/>
          <w:sz w:val="24"/>
        </w:rPr>
      </w:pPr>
    </w:p>
    <w:tbl>
      <w:tblPr>
        <w:tblStyle w:val="Grilledutableau1"/>
        <w:tblW w:w="10627" w:type="dxa"/>
        <w:jc w:val="center"/>
        <w:tblLayout w:type="fixed"/>
        <w:tblLook w:val="04A0"/>
      </w:tblPr>
      <w:tblGrid>
        <w:gridCol w:w="4815"/>
        <w:gridCol w:w="309"/>
        <w:gridCol w:w="284"/>
        <w:gridCol w:w="283"/>
        <w:gridCol w:w="284"/>
        <w:gridCol w:w="283"/>
        <w:gridCol w:w="4369"/>
      </w:tblGrid>
      <w:tr w:rsidR="002B5D12" w:rsidRPr="00C45864">
        <w:trPr>
          <w:trHeight w:val="600"/>
          <w:jc w:val="center"/>
        </w:trPr>
        <w:tc>
          <w:tcPr>
            <w:tcW w:w="4815" w:type="dxa"/>
            <w:vAlign w:val="center"/>
          </w:tcPr>
          <w:p w:rsidR="002B5D12" w:rsidRPr="00C45864" w:rsidRDefault="003779AA" w:rsidP="006F5756">
            <w:pPr>
              <w:spacing w:before="0"/>
              <w:jc w:val="center"/>
              <w:rPr>
                <w:rFonts w:asciiTheme="minorHAnsi" w:hAnsiTheme="minorHAnsi" w:cs="Times New Roman"/>
                <w:b/>
                <w:sz w:val="24"/>
              </w:rPr>
            </w:pPr>
            <w:r w:rsidRPr="00C45864">
              <w:rPr>
                <w:rFonts w:asciiTheme="minorHAnsi" w:hAnsiTheme="minorHAnsi" w:cs="Times New Roman"/>
                <w:b/>
                <w:sz w:val="24"/>
              </w:rPr>
              <w:t>P</w:t>
            </w:r>
            <w:r w:rsidRPr="00C45864">
              <w:rPr>
                <w:rFonts w:asciiTheme="minorHAnsi" w:hAnsiTheme="minorHAnsi" w:cs="Times New Roman"/>
                <w:b/>
                <w:sz w:val="24"/>
              </w:rPr>
              <w:t>OLITIQUES ET DISPOSITIFS</w:t>
            </w:r>
          </w:p>
        </w:tc>
        <w:tc>
          <w:tcPr>
            <w:tcW w:w="1443" w:type="dxa"/>
            <w:gridSpan w:val="5"/>
            <w:vAlign w:val="center"/>
          </w:tcPr>
          <w:p w:rsidR="002B5D12" w:rsidRPr="00C45864" w:rsidRDefault="003779AA" w:rsidP="006F5756">
            <w:pPr>
              <w:spacing w:before="0"/>
              <w:jc w:val="center"/>
              <w:rPr>
                <w:rFonts w:asciiTheme="minorHAnsi" w:hAnsiTheme="minorHAnsi" w:cs="Times New Roman"/>
                <w:b/>
                <w:sz w:val="24"/>
              </w:rPr>
            </w:pPr>
            <w:r w:rsidRPr="00C45864">
              <w:rPr>
                <w:rFonts w:asciiTheme="minorHAnsi" w:hAnsiTheme="minorHAnsi" w:cs="Times New Roman"/>
                <w:b/>
                <w:sz w:val="24"/>
              </w:rPr>
              <w:t>BILAN</w:t>
            </w:r>
          </w:p>
        </w:tc>
        <w:tc>
          <w:tcPr>
            <w:tcW w:w="4369" w:type="dxa"/>
          </w:tcPr>
          <w:p w:rsidR="006F5756" w:rsidRPr="00C45864" w:rsidRDefault="003779AA" w:rsidP="00660D0F">
            <w:pPr>
              <w:spacing w:before="0"/>
              <w:jc w:val="left"/>
              <w:rPr>
                <w:rFonts w:asciiTheme="minorHAnsi" w:hAnsiTheme="minorHAnsi" w:cs="Times New Roman"/>
                <w:b/>
                <w:sz w:val="24"/>
              </w:rPr>
            </w:pPr>
          </w:p>
          <w:p w:rsidR="002B5D12" w:rsidRPr="00C45864" w:rsidRDefault="003779AA" w:rsidP="006F5756">
            <w:pPr>
              <w:spacing w:before="0"/>
              <w:jc w:val="center"/>
              <w:rPr>
                <w:rFonts w:asciiTheme="minorHAnsi" w:hAnsiTheme="minorHAnsi" w:cs="Times New Roman"/>
                <w:b/>
                <w:sz w:val="24"/>
              </w:rPr>
            </w:pPr>
            <w:r w:rsidRPr="00C45864">
              <w:rPr>
                <w:rFonts w:asciiTheme="minorHAnsi" w:hAnsiTheme="minorHAnsi" w:cs="Times New Roman"/>
                <w:b/>
                <w:sz w:val="24"/>
              </w:rPr>
              <w:t>COMMENTAIRES - ACTIONS</w:t>
            </w:r>
          </w:p>
          <w:p w:rsidR="00735472" w:rsidRPr="00C45864" w:rsidRDefault="003779AA" w:rsidP="00660D0F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24"/>
              </w:rPr>
            </w:pPr>
          </w:p>
        </w:tc>
      </w:tr>
      <w:tr w:rsidR="000143BE" w:rsidRPr="00C45864">
        <w:trPr>
          <w:trHeight w:val="510"/>
          <w:jc w:val="center"/>
        </w:trPr>
        <w:tc>
          <w:tcPr>
            <w:tcW w:w="4815" w:type="dxa"/>
            <w:vAlign w:val="center"/>
          </w:tcPr>
          <w:p w:rsidR="0091794F" w:rsidRPr="00C45864" w:rsidRDefault="003779AA" w:rsidP="00574ADA">
            <w:pPr>
              <w:jc w:val="center"/>
              <w:rPr>
                <w:rFonts w:asciiTheme="minorHAnsi" w:hAnsiTheme="minorHAnsi" w:cs="Times New Roman"/>
                <w:b/>
                <w:sz w:val="24"/>
              </w:rPr>
            </w:pPr>
            <w:r w:rsidRPr="00C45864">
              <w:rPr>
                <w:rFonts w:asciiTheme="minorHAnsi" w:hAnsiTheme="minorHAnsi" w:cs="Times New Roman"/>
                <w:b/>
                <w:sz w:val="24"/>
              </w:rPr>
              <w:t>Echell</w:t>
            </w:r>
            <w:r w:rsidRPr="00C45864">
              <w:rPr>
                <w:rFonts w:asciiTheme="minorHAnsi" w:hAnsiTheme="minorHAnsi" w:cs="Times New Roman"/>
                <w:b/>
                <w:sz w:val="24"/>
              </w:rPr>
              <w:t>e de maturité</w:t>
            </w:r>
            <w:r w:rsidRPr="00C45864">
              <w:rPr>
                <w:rFonts w:asciiTheme="minorHAnsi" w:hAnsiTheme="minorHAnsi" w:cs="Times New Roman"/>
                <w:b/>
                <w:sz w:val="24"/>
              </w:rPr>
              <w:t xml:space="preserve"> </w:t>
            </w:r>
            <w:r w:rsidRPr="00C45864">
              <w:rPr>
                <w:rFonts w:asciiTheme="minorHAnsi" w:hAnsiTheme="minorHAnsi" w:cs="Times New Roman"/>
                <w:b/>
                <w:sz w:val="24"/>
              </w:rPr>
              <w:t xml:space="preserve"> </w:t>
            </w:r>
          </w:p>
        </w:tc>
        <w:tc>
          <w:tcPr>
            <w:tcW w:w="309" w:type="dxa"/>
            <w:vAlign w:val="center"/>
          </w:tcPr>
          <w:p w:rsidR="000143BE" w:rsidRPr="00C45864" w:rsidRDefault="003779AA" w:rsidP="00DD0689">
            <w:pPr>
              <w:jc w:val="center"/>
              <w:rPr>
                <w:rFonts w:asciiTheme="minorHAnsi" w:hAnsiTheme="minorHAnsi" w:cs="Times New Roman"/>
                <w:b/>
                <w:sz w:val="24"/>
              </w:rPr>
            </w:pPr>
            <w:r w:rsidRPr="00C45864">
              <w:rPr>
                <w:rFonts w:asciiTheme="minorHAnsi" w:hAnsiTheme="minorHAnsi" w:cs="Times New Roman"/>
                <w:b/>
                <w:sz w:val="24"/>
              </w:rPr>
              <w:t>1</w:t>
            </w:r>
          </w:p>
        </w:tc>
        <w:tc>
          <w:tcPr>
            <w:tcW w:w="284" w:type="dxa"/>
            <w:vAlign w:val="center"/>
          </w:tcPr>
          <w:p w:rsidR="000143BE" w:rsidRPr="00C45864" w:rsidRDefault="003779AA" w:rsidP="00DD0689">
            <w:pPr>
              <w:jc w:val="center"/>
              <w:rPr>
                <w:rFonts w:asciiTheme="minorHAnsi" w:hAnsiTheme="minorHAnsi" w:cs="Times New Roman"/>
                <w:b/>
                <w:sz w:val="24"/>
              </w:rPr>
            </w:pPr>
            <w:r w:rsidRPr="00C45864">
              <w:rPr>
                <w:rFonts w:asciiTheme="minorHAnsi" w:hAnsiTheme="minorHAnsi" w:cs="Times New Roman"/>
                <w:b/>
                <w:sz w:val="24"/>
              </w:rPr>
              <w:t>2</w:t>
            </w:r>
          </w:p>
        </w:tc>
        <w:tc>
          <w:tcPr>
            <w:tcW w:w="283" w:type="dxa"/>
            <w:vAlign w:val="center"/>
          </w:tcPr>
          <w:p w:rsidR="000143BE" w:rsidRPr="00C45864" w:rsidRDefault="003779AA" w:rsidP="00DD0689">
            <w:pPr>
              <w:jc w:val="center"/>
              <w:rPr>
                <w:rFonts w:asciiTheme="minorHAnsi" w:hAnsiTheme="minorHAnsi" w:cs="Times New Roman"/>
                <w:b/>
                <w:sz w:val="24"/>
              </w:rPr>
            </w:pPr>
            <w:r w:rsidRPr="00C45864">
              <w:rPr>
                <w:rFonts w:asciiTheme="minorHAnsi" w:hAnsiTheme="minorHAnsi" w:cs="Times New Roman"/>
                <w:b/>
                <w:sz w:val="24"/>
              </w:rPr>
              <w:t>3</w:t>
            </w:r>
          </w:p>
        </w:tc>
        <w:tc>
          <w:tcPr>
            <w:tcW w:w="284" w:type="dxa"/>
            <w:vAlign w:val="center"/>
          </w:tcPr>
          <w:p w:rsidR="000143BE" w:rsidRPr="00C45864" w:rsidRDefault="003779AA" w:rsidP="00DD0689">
            <w:pPr>
              <w:jc w:val="center"/>
              <w:rPr>
                <w:rFonts w:asciiTheme="minorHAnsi" w:hAnsiTheme="minorHAnsi" w:cs="Times New Roman"/>
                <w:b/>
                <w:sz w:val="24"/>
              </w:rPr>
            </w:pPr>
            <w:r w:rsidRPr="00C45864">
              <w:rPr>
                <w:rFonts w:asciiTheme="minorHAnsi" w:hAnsiTheme="minorHAnsi" w:cs="Times New Roman"/>
                <w:b/>
                <w:sz w:val="24"/>
              </w:rPr>
              <w:t>4</w:t>
            </w:r>
          </w:p>
        </w:tc>
        <w:tc>
          <w:tcPr>
            <w:tcW w:w="283" w:type="dxa"/>
            <w:vAlign w:val="center"/>
          </w:tcPr>
          <w:p w:rsidR="000143BE" w:rsidRPr="00C45864" w:rsidRDefault="003779AA" w:rsidP="00DD0689">
            <w:pPr>
              <w:jc w:val="center"/>
              <w:rPr>
                <w:rFonts w:asciiTheme="minorHAnsi" w:hAnsiTheme="minorHAnsi" w:cs="Times New Roman"/>
                <w:b/>
                <w:sz w:val="24"/>
              </w:rPr>
            </w:pPr>
            <w:r w:rsidRPr="00C45864">
              <w:rPr>
                <w:rFonts w:asciiTheme="minorHAnsi" w:hAnsiTheme="minorHAnsi" w:cs="Times New Roman"/>
                <w:b/>
                <w:sz w:val="24"/>
              </w:rPr>
              <w:t>5</w:t>
            </w:r>
          </w:p>
        </w:tc>
        <w:tc>
          <w:tcPr>
            <w:tcW w:w="4369" w:type="dxa"/>
            <w:shd w:val="clear" w:color="auto" w:fill="auto"/>
          </w:tcPr>
          <w:p w:rsidR="000143BE" w:rsidRPr="00C45864" w:rsidRDefault="003779AA" w:rsidP="004C023A">
            <w:pPr>
              <w:rPr>
                <w:rFonts w:asciiTheme="minorHAnsi" w:hAnsiTheme="minorHAnsi" w:cs="Times New Roman"/>
                <w:b/>
                <w:sz w:val="24"/>
              </w:rPr>
            </w:pPr>
            <w:r w:rsidRPr="00C45864">
              <w:rPr>
                <w:rFonts w:asciiTheme="minorHAnsi" w:hAnsiTheme="minorHAnsi" w:cs="Times New Roman"/>
                <w:b/>
                <w:sz w:val="24"/>
              </w:rPr>
              <w:t>Commentaires sur le bilan</w:t>
            </w:r>
            <w:r w:rsidRPr="00C45864">
              <w:rPr>
                <w:rFonts w:asciiTheme="minorHAnsi" w:hAnsiTheme="minorHAnsi" w:cs="Times New Roman"/>
                <w:b/>
                <w:sz w:val="24"/>
              </w:rPr>
              <w:t>, ainsi que</w:t>
            </w:r>
            <w:r w:rsidRPr="00C45864">
              <w:rPr>
                <w:rFonts w:asciiTheme="minorHAnsi" w:hAnsiTheme="minorHAnsi" w:cs="Times New Roman"/>
                <w:b/>
                <w:sz w:val="24"/>
              </w:rPr>
              <w:t xml:space="preserve">, le cas échéant, </w:t>
            </w:r>
            <w:r w:rsidRPr="00C45864">
              <w:rPr>
                <w:rFonts w:asciiTheme="minorHAnsi" w:hAnsiTheme="minorHAnsi" w:cs="Times New Roman"/>
                <w:b/>
                <w:sz w:val="24"/>
              </w:rPr>
              <w:t xml:space="preserve">actions, </w:t>
            </w:r>
            <w:r w:rsidRPr="00C45864">
              <w:rPr>
                <w:rFonts w:asciiTheme="minorHAnsi" w:hAnsiTheme="minorHAnsi" w:cs="Times New Roman"/>
                <w:b/>
                <w:sz w:val="24"/>
              </w:rPr>
              <w:t xml:space="preserve">modalités </w:t>
            </w:r>
            <w:r w:rsidRPr="00C45864">
              <w:rPr>
                <w:rFonts w:asciiTheme="minorHAnsi" w:hAnsiTheme="minorHAnsi" w:cs="Times New Roman"/>
                <w:b/>
                <w:sz w:val="24"/>
              </w:rPr>
              <w:t>d</w:t>
            </w:r>
            <w:r w:rsidRPr="00C45864">
              <w:rPr>
                <w:rFonts w:asciiTheme="minorHAnsi" w:hAnsiTheme="minorHAnsi" w:cs="Times New Roman"/>
                <w:b/>
                <w:sz w:val="24"/>
              </w:rPr>
              <w:t>e pilotage</w:t>
            </w:r>
            <w:r w:rsidRPr="00C45864">
              <w:rPr>
                <w:rFonts w:asciiTheme="minorHAnsi" w:hAnsiTheme="minorHAnsi" w:cs="Times New Roman"/>
                <w:b/>
                <w:sz w:val="24"/>
              </w:rPr>
              <w:t xml:space="preserve"> et soutenabilité</w:t>
            </w:r>
            <w:r w:rsidRPr="00C45864">
              <w:rPr>
                <w:rFonts w:asciiTheme="minorHAnsi" w:hAnsiTheme="minorHAnsi" w:cs="Times New Roman"/>
                <w:b/>
                <w:sz w:val="24"/>
              </w:rPr>
              <w:t xml:space="preserve"> </w:t>
            </w:r>
            <w:r w:rsidRPr="00C45864">
              <w:rPr>
                <w:rFonts w:asciiTheme="minorHAnsi" w:hAnsiTheme="minorHAnsi" w:cs="Times New Roman"/>
                <w:b/>
                <w:sz w:val="24"/>
              </w:rPr>
              <w:t>envisagé</w:t>
            </w:r>
            <w:r w:rsidRPr="00C45864">
              <w:rPr>
                <w:rFonts w:asciiTheme="minorHAnsi" w:hAnsiTheme="minorHAnsi" w:cs="Times New Roman"/>
                <w:b/>
                <w:sz w:val="24"/>
              </w:rPr>
              <w:t>e</w:t>
            </w:r>
            <w:r w:rsidRPr="00C45864">
              <w:rPr>
                <w:rFonts w:asciiTheme="minorHAnsi" w:hAnsiTheme="minorHAnsi" w:cs="Times New Roman"/>
                <w:b/>
                <w:sz w:val="24"/>
              </w:rPr>
              <w:t>s durant la période d’accréditation</w:t>
            </w:r>
            <w:r w:rsidRPr="00C45864">
              <w:rPr>
                <w:rFonts w:asciiTheme="minorHAnsi" w:hAnsiTheme="minorHAnsi" w:cs="Times New Roman"/>
                <w:color w:val="000000"/>
                <w:sz w:val="24"/>
              </w:rPr>
              <w:t xml:space="preserve"> </w:t>
            </w:r>
            <w:r w:rsidRPr="00C45864">
              <w:rPr>
                <w:rFonts w:asciiTheme="minorHAnsi" w:hAnsiTheme="minorHAnsi" w:cs="Times New Roman"/>
                <w:color w:val="000000"/>
                <w:sz w:val="24"/>
              </w:rPr>
              <w:t xml:space="preserve"> </w:t>
            </w:r>
          </w:p>
        </w:tc>
      </w:tr>
      <w:tr w:rsidR="000143BE" w:rsidRPr="00C45864">
        <w:trPr>
          <w:trHeight w:val="340"/>
          <w:jc w:val="center"/>
        </w:trPr>
        <w:tc>
          <w:tcPr>
            <w:tcW w:w="4815" w:type="dxa"/>
          </w:tcPr>
          <w:p w:rsidR="00DA471A" w:rsidRPr="00C45864" w:rsidRDefault="003779AA" w:rsidP="00DA471A">
            <w:pPr>
              <w:pStyle w:val="NormalWeb"/>
              <w:spacing w:after="0"/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  <w:t>Domaine 1 : Formation et pédagogie</w:t>
            </w:r>
            <w:r w:rsidRPr="00C45864"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  <w:t xml:space="preserve"> </w:t>
            </w:r>
          </w:p>
          <w:p w:rsidR="00DA471A" w:rsidRPr="00C45864" w:rsidRDefault="003779AA" w:rsidP="00DA471A">
            <w:pPr>
              <w:spacing w:before="100" w:beforeAutospacing="1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–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cohérence interne de l’offre d’enseignemen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t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 ;</w:t>
            </w:r>
          </w:p>
          <w:p w:rsidR="00DA471A" w:rsidRPr="00C45864" w:rsidRDefault="003779AA" w:rsidP="00294B72">
            <w:pPr>
              <w:spacing w:before="100" w:beforeAutospacing="1" w:after="142" w:line="288" w:lineRule="auto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–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innovation pédagogique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 ;</w:t>
            </w:r>
          </w:p>
          <w:p w:rsidR="00536FA0" w:rsidRPr="00C45864" w:rsidRDefault="003779AA" w:rsidP="00536FA0">
            <w:pPr>
              <w:spacing w:before="100" w:beforeAutospacing="1" w:after="142" w:line="288" w:lineRule="auto"/>
              <w:jc w:val="left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–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prise en compte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de la diversification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et de l’évolution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des pratiques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 professionnelles ;</w:t>
            </w:r>
          </w:p>
          <w:p w:rsidR="006D1C14" w:rsidRPr="00C45864" w:rsidRDefault="003779AA" w:rsidP="00FF3E29">
            <w:pPr>
              <w:spacing w:before="100" w:beforeAutospacing="1" w:after="142" w:line="288" w:lineRule="auto"/>
              <w:jc w:val="left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–  prise en compte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de la diversification et de l’évo</w:t>
            </w:r>
            <w:bookmarkStart w:id="0" w:name="_GoBack"/>
            <w:bookmarkEnd w:id="0"/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lution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des compétences professionnelles ;</w:t>
            </w:r>
          </w:p>
          <w:p w:rsidR="007E675A" w:rsidRPr="00C45864" w:rsidRDefault="003779AA" w:rsidP="004350B7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interaction entre aspects théoriques et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pratiques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 ;</w:t>
            </w:r>
          </w:p>
          <w:p w:rsidR="00D3768C" w:rsidRPr="00C45864" w:rsidRDefault="003779AA" w:rsidP="00D3768C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F31AED" w:rsidRPr="00C45864" w:rsidRDefault="003779AA" w:rsidP="00D3768C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l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e cas échéant, interaction entre les enseignements proposés par l’établissement qui relèvent de différents domaines ou disciplines artistiques ;</w:t>
            </w:r>
          </w:p>
          <w:p w:rsidR="00D3768C" w:rsidRPr="00C45864" w:rsidRDefault="003779AA" w:rsidP="00D3768C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F31AED" w:rsidRPr="00C45864" w:rsidRDefault="003779AA" w:rsidP="004350B7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pédagogie de projet ; </w:t>
            </w:r>
          </w:p>
          <w:p w:rsidR="001C2FB4" w:rsidRPr="00C45864" w:rsidRDefault="003779AA" w:rsidP="001C2FB4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DA471A" w:rsidRPr="00C45864" w:rsidRDefault="003779AA" w:rsidP="004350B7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autonomie de l'étudiant ;</w:t>
            </w:r>
          </w:p>
          <w:p w:rsidR="001C2FB4" w:rsidRPr="00C45864" w:rsidRDefault="003779AA" w:rsidP="001C2FB4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B02A5F" w:rsidRPr="00C45864" w:rsidRDefault="003779AA" w:rsidP="007D1674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préparation à l’insertion professionnelle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 ;</w:t>
            </w:r>
          </w:p>
          <w:p w:rsidR="00396D46" w:rsidRDefault="003779AA" w:rsidP="007D1674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7D1674" w:rsidRPr="00C45864" w:rsidRDefault="003779AA" w:rsidP="007D1674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0143BE" w:rsidRPr="00C45864" w:rsidRDefault="003779AA" w:rsidP="004350B7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attractivité de l’offre d’enseignement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s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 ;</w:t>
            </w:r>
          </w:p>
          <w:p w:rsidR="00A863E1" w:rsidRPr="00C45864" w:rsidRDefault="003779AA" w:rsidP="00A865A9">
            <w:pPr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</w:p>
          <w:p w:rsidR="00B06914" w:rsidRPr="00C45864" w:rsidRDefault="003779AA" w:rsidP="00A865A9">
            <w:pPr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</w:p>
        </w:tc>
        <w:tc>
          <w:tcPr>
            <w:tcW w:w="309" w:type="dxa"/>
          </w:tcPr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</w:tc>
        <w:tc>
          <w:tcPr>
            <w:tcW w:w="284" w:type="dxa"/>
          </w:tcPr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</w:tc>
        <w:tc>
          <w:tcPr>
            <w:tcW w:w="283" w:type="dxa"/>
          </w:tcPr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284" w:type="dxa"/>
          </w:tcPr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283" w:type="dxa"/>
          </w:tcPr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DD0689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DD0689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4369" w:type="dxa"/>
          </w:tcPr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Affirmer notre pédagogie transversale et renforcer le travail vocal</w:t>
            </w: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affirmer le multiculturalisme de notre enseignement</w:t>
            </w: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Consacrer des modules</w:t>
            </w:r>
            <w:r>
              <w:rPr>
                <w:rFonts w:asciiTheme="minorHAnsi" w:hAnsiTheme="minorHAnsi" w:cs="Times New Roman"/>
                <w:sz w:val="24"/>
              </w:rPr>
              <w:t xml:space="preserve"> au jeu pour la caméra et aux arts numériques</w:t>
            </w: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Favoriser la transdisciplinarité par les partenariats que nous construisons</w:t>
            </w: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renforcer notre partenariat avec L’université autour d’un enseignement des écritures théâtrales et des nouvelles dramaturgies numériq</w:t>
            </w:r>
            <w:r>
              <w:rPr>
                <w:rFonts w:asciiTheme="minorHAnsi" w:hAnsiTheme="minorHAnsi" w:cs="Times New Roman"/>
                <w:sz w:val="24"/>
              </w:rPr>
              <w:t>ue de la scène</w:t>
            </w: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6D020E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DD0689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Poursuivre cette relation entre tradition et innovation</w:t>
            </w: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Conserver la qualité relationnelle de l’école en renforçant les formalités d’encadrement</w:t>
            </w: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Contin</w:t>
            </w:r>
            <w:r>
              <w:rPr>
                <w:rFonts w:asciiTheme="minorHAnsi" w:hAnsiTheme="minorHAnsi" w:cs="Times New Roman"/>
                <w:sz w:val="24"/>
              </w:rPr>
              <w:t>u</w:t>
            </w:r>
            <w:r>
              <w:rPr>
                <w:rFonts w:asciiTheme="minorHAnsi" w:hAnsiTheme="minorHAnsi" w:cs="Times New Roman"/>
                <w:sz w:val="24"/>
              </w:rPr>
              <w:t>er à inventer et à offrir à chaque étudiant/e un suivi personnalisé</w:t>
            </w:r>
          </w:p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Inviter des figure</w:t>
            </w:r>
            <w:r>
              <w:rPr>
                <w:rFonts w:asciiTheme="minorHAnsi" w:hAnsiTheme="minorHAnsi" w:cs="Times New Roman"/>
                <w:sz w:val="24"/>
              </w:rPr>
              <w:t>s importantes du paysage théâtral reflet des évolutions esthétiques de notre art</w:t>
            </w:r>
          </w:p>
        </w:tc>
      </w:tr>
      <w:tr w:rsidR="000143BE" w:rsidRPr="00C45864">
        <w:trPr>
          <w:trHeight w:val="340"/>
          <w:jc w:val="center"/>
        </w:trPr>
        <w:tc>
          <w:tcPr>
            <w:tcW w:w="4815" w:type="dxa"/>
          </w:tcPr>
          <w:p w:rsidR="006864AD" w:rsidRPr="00C45864" w:rsidRDefault="003779AA" w:rsidP="006864AD">
            <w:pPr>
              <w:pStyle w:val="NormalWeb"/>
              <w:spacing w:after="0"/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  <w:t xml:space="preserve">Domaine 2 : </w:t>
            </w:r>
            <w:r w:rsidRPr="00C45864"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  <w:t xml:space="preserve">Recherche </w:t>
            </w:r>
          </w:p>
          <w:p w:rsidR="00E83C48" w:rsidRPr="00C45864" w:rsidRDefault="003779AA" w:rsidP="006864AD">
            <w:pPr>
              <w:spacing w:before="100" w:beforeAutospacing="1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  <w:r w:rsidRPr="004F6C50">
              <w:rPr>
                <w:rFonts w:asciiTheme="minorHAnsi" w:hAnsiTheme="minorHAnsi" w:cs="Times New Roman"/>
                <w:bCs/>
                <w:sz w:val="24"/>
              </w:rPr>
              <w:t xml:space="preserve">– </w:t>
            </w:r>
            <w:r w:rsidRPr="004F6C50">
              <w:rPr>
                <w:rFonts w:asciiTheme="minorHAnsi" w:hAnsiTheme="minorHAnsi" w:cs="Times New Roman"/>
                <w:bCs/>
                <w:sz w:val="24"/>
              </w:rPr>
              <w:t xml:space="preserve">état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des ac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tivités de recherche artistique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;</w:t>
            </w:r>
          </w:p>
          <w:p w:rsidR="006864AD" w:rsidRPr="00C45864" w:rsidRDefault="003779AA" w:rsidP="004350B7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organisation et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g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ouvernance de la recherche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 ;</w:t>
            </w:r>
          </w:p>
          <w:p w:rsidR="00396D46" w:rsidRDefault="003779AA" w:rsidP="006864AD">
            <w:pPr>
              <w:spacing w:before="100" w:beforeAutospacing="1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–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 adossement de la formation à la recherche ;</w:t>
            </w:r>
          </w:p>
          <w:p w:rsidR="006864AD" w:rsidRPr="00C45864" w:rsidRDefault="003779AA" w:rsidP="006864AD">
            <w:pPr>
              <w:spacing w:before="100" w:beforeAutospacing="1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</w:p>
          <w:p w:rsidR="006864AD" w:rsidRPr="00C45864" w:rsidRDefault="003779AA" w:rsidP="004350B7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partenaria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ts en matière de recherche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 ;</w:t>
            </w:r>
          </w:p>
          <w:p w:rsidR="007D1674" w:rsidRPr="00C45864" w:rsidRDefault="003779AA" w:rsidP="007D1674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6864AD" w:rsidRPr="00C45864" w:rsidRDefault="003779AA" w:rsidP="004350B7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a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déquation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de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s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financements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aux besoins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de la recherche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 ;</w:t>
            </w:r>
          </w:p>
          <w:p w:rsidR="007D1674" w:rsidRPr="00C45864" w:rsidRDefault="003779AA" w:rsidP="007D1674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0B6F20" w:rsidRPr="00C45864" w:rsidRDefault="003779AA" w:rsidP="004350B7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valorisation de la recherche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 ;</w:t>
            </w:r>
          </w:p>
          <w:p w:rsidR="000143BE" w:rsidRPr="00C45864" w:rsidRDefault="003779AA" w:rsidP="00DD0689">
            <w:pPr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</w:p>
        </w:tc>
        <w:tc>
          <w:tcPr>
            <w:tcW w:w="309" w:type="dxa"/>
          </w:tcPr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284" w:type="dxa"/>
          </w:tcPr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283" w:type="dxa"/>
          </w:tcPr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284" w:type="dxa"/>
          </w:tcPr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</w:tc>
        <w:tc>
          <w:tcPr>
            <w:tcW w:w="283" w:type="dxa"/>
          </w:tcPr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</w:tc>
        <w:tc>
          <w:tcPr>
            <w:tcW w:w="4369" w:type="dxa"/>
          </w:tcPr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Renforcer des aspects théoriques de certaines pratiques</w:t>
            </w: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Impliquer plus fortement le conseil</w:t>
            </w:r>
            <w:r>
              <w:rPr>
                <w:rFonts w:asciiTheme="minorHAnsi" w:hAnsiTheme="minorHAnsi" w:cs="Times New Roman"/>
                <w:sz w:val="24"/>
              </w:rPr>
              <w:t xml:space="preserve"> pédagogique</w:t>
            </w:r>
          </w:p>
          <w:p w:rsidR="00396D46" w:rsidRPr="00396D46" w:rsidRDefault="003779AA" w:rsidP="00DD0689">
            <w:pPr>
              <w:rPr>
                <w:rFonts w:asciiTheme="minorHAnsi" w:hAnsiTheme="minorHAnsi" w:cs="Times New Roman"/>
                <w:sz w:val="16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Accroître nos relations avec le département art et littérature de l’Université de Limoges</w:t>
            </w: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Affirmer une stratégie internationale</w:t>
            </w: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L’école ne dispose pas de moyens suffisant pour faire face à ses besoins</w:t>
            </w: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 xml:space="preserve">En fonction des moyens, développer une </w:t>
            </w:r>
            <w:r>
              <w:rPr>
                <w:rFonts w:asciiTheme="minorHAnsi" w:hAnsiTheme="minorHAnsi" w:cs="Times New Roman"/>
                <w:sz w:val="24"/>
              </w:rPr>
              <w:t>numérisation des contenus</w:t>
            </w:r>
          </w:p>
        </w:tc>
      </w:tr>
      <w:tr w:rsidR="00DA471A" w:rsidRPr="00C45864">
        <w:trPr>
          <w:trHeight w:val="340"/>
          <w:jc w:val="center"/>
        </w:trPr>
        <w:tc>
          <w:tcPr>
            <w:tcW w:w="4815" w:type="dxa"/>
          </w:tcPr>
          <w:p w:rsidR="00DA471A" w:rsidRPr="00C45864" w:rsidRDefault="003779AA" w:rsidP="00DA471A">
            <w:pPr>
              <w:pStyle w:val="NormalWeb"/>
              <w:spacing w:after="0"/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  <w:t xml:space="preserve">Domaine 3 : Pilotage </w:t>
            </w:r>
            <w:r w:rsidRPr="00C45864"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  <w:t>et gouvernance de l’établissement</w:t>
            </w:r>
          </w:p>
          <w:p w:rsidR="00021767" w:rsidRPr="00C45864" w:rsidRDefault="003779AA" w:rsidP="007D1674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fonctionnement des instances de gouvernance ;</w:t>
            </w:r>
          </w:p>
          <w:p w:rsidR="007D1674" w:rsidRPr="00C45864" w:rsidRDefault="003779AA" w:rsidP="007D1674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DA471A" w:rsidRPr="00C45864" w:rsidRDefault="003779AA" w:rsidP="004350B7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démarche qualité (délivrance du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supplément au diplôme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, mise en place de conseils de perfectionnement, évaluation des enseigne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ments et des formations et prise en compte des résultats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,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dispositif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d’auto- évaluation,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etc.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)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 ;</w:t>
            </w:r>
          </w:p>
          <w:p w:rsidR="007D1674" w:rsidRPr="00C45864" w:rsidRDefault="003779AA" w:rsidP="007D1674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53410D" w:rsidRPr="00C45864" w:rsidRDefault="003779AA" w:rsidP="004350B7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état du dialogue social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 ;</w:t>
            </w:r>
          </w:p>
          <w:p w:rsidR="007D1674" w:rsidRPr="00C45864" w:rsidRDefault="003779AA" w:rsidP="007D1674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76068A" w:rsidRPr="00C45864" w:rsidRDefault="003779AA" w:rsidP="007D1674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égalité, diversité et parité ;</w:t>
            </w:r>
          </w:p>
          <w:p w:rsidR="007D1674" w:rsidRPr="00C45864" w:rsidRDefault="003779AA" w:rsidP="007D1674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76068A" w:rsidRPr="00C45864" w:rsidRDefault="003779AA" w:rsidP="007D1674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caractère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opérationnel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de l’équip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e pédagogique ;</w:t>
            </w:r>
          </w:p>
          <w:p w:rsidR="007D1674" w:rsidRPr="00C45864" w:rsidRDefault="003779AA" w:rsidP="007D1674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76068A" w:rsidRPr="00C45864" w:rsidRDefault="003779AA" w:rsidP="00AD2207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c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aractère opérationnel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de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l’équipe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administra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tive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 ;</w:t>
            </w:r>
          </w:p>
          <w:p w:rsidR="00AD2207" w:rsidRPr="00C45864" w:rsidRDefault="003779AA" w:rsidP="00AD2207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7B1A3F" w:rsidRPr="00C45864" w:rsidRDefault="003779AA" w:rsidP="004350B7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c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aractère opérationnel des locaux et équipements ;</w:t>
            </w:r>
          </w:p>
          <w:p w:rsidR="00B06914" w:rsidRPr="00C45864" w:rsidRDefault="003779AA" w:rsidP="00A863E1">
            <w:pPr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</w:p>
        </w:tc>
        <w:tc>
          <w:tcPr>
            <w:tcW w:w="309" w:type="dxa"/>
          </w:tcPr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DA471A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284" w:type="dxa"/>
          </w:tcPr>
          <w:p w:rsidR="00DA471A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</w:tc>
        <w:tc>
          <w:tcPr>
            <w:tcW w:w="283" w:type="dxa"/>
          </w:tcPr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DA471A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284" w:type="dxa"/>
          </w:tcPr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DA471A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283" w:type="dxa"/>
          </w:tcPr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DA471A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</w:tc>
        <w:tc>
          <w:tcPr>
            <w:tcW w:w="4369" w:type="dxa"/>
          </w:tcPr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Réorganiser le conseil pédagogique en l’impliquant plus fortement</w:t>
            </w:r>
          </w:p>
          <w:p w:rsidR="00396D46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396D46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Poursuivre l’optimisation du formalisme</w:t>
            </w:r>
          </w:p>
          <w:p w:rsidR="00396D46" w:rsidRDefault="003779AA" w:rsidP="00396D46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396D46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396D46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396D46">
            <w:pPr>
              <w:rPr>
                <w:rFonts w:asciiTheme="minorHAnsi" w:hAnsiTheme="minorHAnsi" w:cs="Times New Roman"/>
                <w:sz w:val="24"/>
              </w:rPr>
            </w:pPr>
          </w:p>
          <w:p w:rsidR="00396D46" w:rsidRDefault="003779AA" w:rsidP="00396D46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Tente</w:t>
            </w:r>
            <w:r>
              <w:rPr>
                <w:rFonts w:asciiTheme="minorHAnsi" w:hAnsiTheme="minorHAnsi" w:cs="Times New Roman"/>
                <w:sz w:val="24"/>
              </w:rPr>
              <w:t>r d’améliorer en fonction des moyens la rémunération des intervenants pédagogiques</w:t>
            </w:r>
          </w:p>
          <w:p w:rsidR="000034AF" w:rsidRDefault="003779AA" w:rsidP="00396D46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Continuer à œuvrer pour une forte ouverture vers l’étranger et les territoires des outre-mer</w:t>
            </w:r>
          </w:p>
          <w:p w:rsidR="000034AF" w:rsidRDefault="003779AA" w:rsidP="000034AF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Renforcer le dialogue entre intervenants</w:t>
            </w:r>
          </w:p>
          <w:p w:rsidR="000034AF" w:rsidRDefault="003779AA" w:rsidP="000034AF">
            <w:pPr>
              <w:rPr>
                <w:rFonts w:asciiTheme="minorHAnsi" w:hAnsiTheme="minorHAnsi" w:cs="Times New Roman"/>
                <w:sz w:val="24"/>
              </w:rPr>
            </w:pPr>
          </w:p>
          <w:p w:rsidR="000034AF" w:rsidRDefault="003779AA" w:rsidP="000034AF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Réorganiser l’organigramme et les fich</w:t>
            </w:r>
            <w:r>
              <w:rPr>
                <w:rFonts w:asciiTheme="minorHAnsi" w:hAnsiTheme="minorHAnsi" w:cs="Times New Roman"/>
                <w:sz w:val="24"/>
              </w:rPr>
              <w:t>e de poste en fonction de l’évolution des enjeux de l’école</w:t>
            </w:r>
          </w:p>
          <w:p w:rsidR="000034AF" w:rsidRDefault="003779AA" w:rsidP="000034AF">
            <w:pPr>
              <w:rPr>
                <w:rFonts w:asciiTheme="minorHAnsi" w:hAnsiTheme="minorHAnsi" w:cs="Times New Roman"/>
                <w:sz w:val="24"/>
              </w:rPr>
            </w:pPr>
          </w:p>
          <w:p w:rsidR="00DA471A" w:rsidRPr="00C45864" w:rsidRDefault="003779AA" w:rsidP="000034AF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L’école nécessite une rénovation  et une dotation en investissements</w:t>
            </w:r>
          </w:p>
        </w:tc>
      </w:tr>
      <w:tr w:rsidR="00BF7586" w:rsidRPr="00C45864">
        <w:trPr>
          <w:trHeight w:val="340"/>
          <w:jc w:val="center"/>
        </w:trPr>
        <w:tc>
          <w:tcPr>
            <w:tcW w:w="4815" w:type="dxa"/>
          </w:tcPr>
          <w:p w:rsidR="00A36FB3" w:rsidRPr="00C45864" w:rsidRDefault="003779AA" w:rsidP="00A36FB3">
            <w:pPr>
              <w:pStyle w:val="NormalWeb"/>
              <w:spacing w:after="0"/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  <w:t>Domaine 4 : Relation à l’étudiant</w:t>
            </w:r>
          </w:p>
          <w:p w:rsidR="0043654E" w:rsidRPr="00C45864" w:rsidRDefault="003779AA" w:rsidP="00EB568B">
            <w:pPr>
              <w:spacing w:before="100" w:beforeAutospacing="1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– diversité de la population accédant à la formation ;</w:t>
            </w:r>
          </w:p>
          <w:p w:rsidR="00EB568B" w:rsidRPr="00C45864" w:rsidRDefault="003779AA" w:rsidP="00EB568B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accompagnement et suivi interne des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étudiants (suivi de cohorte) ;</w:t>
            </w:r>
          </w:p>
          <w:p w:rsidR="008F0D3A" w:rsidRPr="00C45864" w:rsidRDefault="003779AA" w:rsidP="008F0D3A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8F0D3A" w:rsidRPr="00C45864" w:rsidRDefault="003779AA" w:rsidP="008F0D3A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hAnsiTheme="minorHAnsi"/>
                <w:color w:val="000000"/>
              </w:rPr>
              <w:t>condition de vie des étudiants ;</w:t>
            </w:r>
          </w:p>
          <w:p w:rsidR="00EB568B" w:rsidRPr="00C45864" w:rsidRDefault="003779AA" w:rsidP="008F0D3A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8B1B99" w:rsidRPr="00A865A9" w:rsidRDefault="003779AA" w:rsidP="004350B7">
            <w:pPr>
              <w:pStyle w:val="Paragraphedeliste"/>
              <w:rPr>
                <w:rFonts w:asciiTheme="minorHAnsi" w:eastAsia="WenQuanYi Micro Hei" w:hAnsiTheme="minorHAnsi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politique de </w:t>
            </w:r>
            <w:r w:rsidRPr="00A865A9">
              <w:rPr>
                <w:rFonts w:asciiTheme="minorHAnsi" w:eastAsia="WenQuanYi Micro Hei" w:hAnsiTheme="minorHAnsi"/>
                <w:kern w:val="1"/>
                <w:szCs w:val="24"/>
                <w:lang w:eastAsia="zh-CN" w:bidi="hi-IN"/>
              </w:rPr>
              <w:t>stage </w:t>
            </w:r>
            <w:r w:rsidRPr="00A865A9">
              <w:rPr>
                <w:rFonts w:asciiTheme="minorHAnsi" w:eastAsia="Times New Roman" w:hAnsiTheme="minorHAnsi"/>
                <w:bCs w:val="0"/>
                <w:lang w:eastAsia="fr-FR"/>
              </w:rPr>
              <w:t>et de mise en situation professionnelle </w:t>
            </w:r>
            <w:r w:rsidRPr="00A865A9">
              <w:rPr>
                <w:rFonts w:asciiTheme="minorHAnsi" w:eastAsia="WenQuanYi Micro Hei" w:hAnsiTheme="minorHAnsi"/>
                <w:kern w:val="1"/>
                <w:szCs w:val="24"/>
                <w:lang w:eastAsia="zh-CN" w:bidi="hi-IN"/>
              </w:rPr>
              <w:t>;</w:t>
            </w:r>
          </w:p>
          <w:p w:rsidR="008F0D3A" w:rsidRPr="00C45864" w:rsidRDefault="003779AA" w:rsidP="008F0D3A">
            <w:pPr>
              <w:pStyle w:val="Paragraphedeliste"/>
              <w:numPr>
                <w:ilvl w:val="0"/>
                <w:numId w:val="0"/>
              </w:numPr>
              <w:ind w:left="176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</w:p>
          <w:p w:rsidR="00BF7586" w:rsidRPr="00C45864" w:rsidRDefault="003779AA" w:rsidP="008F0D3A">
            <w:pPr>
              <w:pStyle w:val="Paragraphedeliste"/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 xml:space="preserve"> </w:t>
            </w:r>
            <w:r w:rsidRPr="00C45864">
              <w:rPr>
                <w:rFonts w:asciiTheme="minorHAnsi" w:eastAsia="WenQuanYi Micro Hei" w:hAnsiTheme="minorHAnsi"/>
                <w:color w:val="000000"/>
                <w:kern w:val="1"/>
                <w:szCs w:val="24"/>
                <w:lang w:eastAsia="zh-CN" w:bidi="hi-IN"/>
              </w:rPr>
              <w:t>suivi de l’insertion professionnelle ;</w:t>
            </w:r>
          </w:p>
        </w:tc>
        <w:tc>
          <w:tcPr>
            <w:tcW w:w="309" w:type="dxa"/>
          </w:tcPr>
          <w:p w:rsidR="00BF7586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</w:tc>
        <w:tc>
          <w:tcPr>
            <w:tcW w:w="284" w:type="dxa"/>
          </w:tcPr>
          <w:p w:rsidR="00BF7586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</w:tc>
        <w:tc>
          <w:tcPr>
            <w:tcW w:w="283" w:type="dxa"/>
          </w:tcPr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BF7586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284" w:type="dxa"/>
          </w:tcPr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BF7586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283" w:type="dxa"/>
          </w:tcPr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BF7586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4369" w:type="dxa"/>
          </w:tcPr>
          <w:p w:rsidR="000034AF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Maintenir la gratuité et l’entraide au sein de notr</w:t>
            </w:r>
            <w:r>
              <w:rPr>
                <w:rFonts w:asciiTheme="minorHAnsi" w:hAnsiTheme="minorHAnsi" w:cs="Times New Roman"/>
                <w:sz w:val="24"/>
              </w:rPr>
              <w:t>e école pour permettre un accès quelques soient les difficultés sociales d’un élève</w:t>
            </w: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Continuer à favoriser le travail de coordination des études</w:t>
            </w: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Améliorer la qualité d’accueil des locaux et du matériel pédagogique</w:t>
            </w: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Affirmer ce point d’excellence de l’école</w:t>
            </w: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BF7586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Se doter d’outils informatiques et numériques adaptés</w:t>
            </w:r>
          </w:p>
        </w:tc>
      </w:tr>
      <w:tr w:rsidR="000143BE" w:rsidRPr="00C45864">
        <w:trPr>
          <w:trHeight w:val="340"/>
          <w:jc w:val="center"/>
        </w:trPr>
        <w:tc>
          <w:tcPr>
            <w:tcW w:w="4815" w:type="dxa"/>
          </w:tcPr>
          <w:p w:rsidR="00223A16" w:rsidRPr="00C45864" w:rsidRDefault="003779AA" w:rsidP="00223A16">
            <w:pPr>
              <w:pStyle w:val="NormalWeb"/>
              <w:spacing w:after="0"/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  <w:t xml:space="preserve">Domaine </w:t>
            </w:r>
            <w:r w:rsidRPr="00C45864"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  <w:t>5</w:t>
            </w:r>
            <w:r w:rsidRPr="00C45864"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  <w:t xml:space="preserve"> : Inscription territoriale </w:t>
            </w:r>
          </w:p>
          <w:p w:rsidR="00883D7F" w:rsidRPr="00C45864" w:rsidRDefault="003779AA" w:rsidP="00223A16">
            <w:pPr>
              <w:spacing w:before="100" w:beforeAutospacing="1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–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liens et partenariats avec les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 structures artistiques et culturelles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 ;</w:t>
            </w:r>
          </w:p>
          <w:p w:rsidR="00223A16" w:rsidRPr="00C45864" w:rsidRDefault="003779AA" w:rsidP="00223A16">
            <w:pPr>
              <w:spacing w:before="100" w:beforeAutospacing="1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–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 partenariats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socio-professionnel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s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 ;</w:t>
            </w:r>
          </w:p>
          <w:p w:rsidR="00223A16" w:rsidRPr="00C45864" w:rsidRDefault="003779AA" w:rsidP="00223A16">
            <w:pPr>
              <w:spacing w:before="100" w:beforeAutospacing="1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–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partenariats institutionnels ;</w:t>
            </w:r>
          </w:p>
          <w:p w:rsidR="00D01AF8" w:rsidRPr="00C45864" w:rsidRDefault="003779AA" w:rsidP="00223A16">
            <w:pPr>
              <w:spacing w:before="100" w:beforeAutospacing="1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–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articulation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avec l’environnement régional de formation supérieure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 ;</w:t>
            </w:r>
          </w:p>
          <w:p w:rsidR="006031B7" w:rsidRPr="00C45864" w:rsidRDefault="003779AA" w:rsidP="00D01AF8">
            <w:pPr>
              <w:spacing w:before="100" w:beforeAutospacing="1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–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actions en matière d’éducation artistique et culturelle ;</w:t>
            </w:r>
          </w:p>
          <w:p w:rsidR="00132973" w:rsidRPr="00C45864" w:rsidRDefault="003779AA" w:rsidP="00D01AF8">
            <w:pPr>
              <w:spacing w:before="100" w:beforeAutospacing="1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</w:p>
        </w:tc>
        <w:tc>
          <w:tcPr>
            <w:tcW w:w="309" w:type="dxa"/>
          </w:tcPr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</w:tc>
        <w:tc>
          <w:tcPr>
            <w:tcW w:w="284" w:type="dxa"/>
          </w:tcPr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</w:tc>
        <w:tc>
          <w:tcPr>
            <w:tcW w:w="283" w:type="dxa"/>
          </w:tcPr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</w:tc>
        <w:tc>
          <w:tcPr>
            <w:tcW w:w="284" w:type="dxa"/>
          </w:tcPr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283" w:type="dxa"/>
          </w:tcPr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4C49E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4C49E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4C49E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4C49E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4C49E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4C49E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4C49E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0143BE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4369" w:type="dxa"/>
          </w:tcPr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32706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Continuer la politique entreprise depuis de nombreuses années</w:t>
            </w:r>
          </w:p>
          <w:p w:rsidR="004C49E4" w:rsidRDefault="003779AA" w:rsidP="004C49E4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 xml:space="preserve">Continuer la politique entreprise depuis de nombreuses </w:t>
            </w:r>
            <w:r>
              <w:rPr>
                <w:rFonts w:asciiTheme="minorHAnsi" w:hAnsiTheme="minorHAnsi" w:cs="Times New Roman"/>
                <w:sz w:val="24"/>
              </w:rPr>
              <w:t>années</w:t>
            </w:r>
          </w:p>
          <w:p w:rsidR="004C49E4" w:rsidRDefault="003779AA" w:rsidP="004C49E4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Continuer la politique entreprise depuis de nombreuses années</w:t>
            </w:r>
          </w:p>
          <w:p w:rsidR="004C49E4" w:rsidRDefault="003779AA" w:rsidP="004C49E4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Continuer à développer nos relations avec les écoles</w:t>
            </w:r>
          </w:p>
          <w:p w:rsidR="004C49E4" w:rsidRDefault="003779AA" w:rsidP="004C49E4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Continuer la politique entreprise au travers entre autre des prix passerelles</w:t>
            </w:r>
          </w:p>
          <w:p w:rsidR="000143BE" w:rsidRPr="00C45864" w:rsidRDefault="003779AA" w:rsidP="004C49E4">
            <w:pPr>
              <w:rPr>
                <w:rFonts w:asciiTheme="minorHAnsi" w:hAnsiTheme="minorHAnsi" w:cs="Times New Roman"/>
                <w:sz w:val="24"/>
              </w:rPr>
            </w:pPr>
          </w:p>
        </w:tc>
      </w:tr>
      <w:tr w:rsidR="00581EFC" w:rsidRPr="00C45864">
        <w:trPr>
          <w:trHeight w:val="340"/>
          <w:jc w:val="center"/>
        </w:trPr>
        <w:tc>
          <w:tcPr>
            <w:tcW w:w="4815" w:type="dxa"/>
          </w:tcPr>
          <w:p w:rsidR="00581EFC" w:rsidRPr="00C45864" w:rsidRDefault="003779AA" w:rsidP="00581EFC">
            <w:pPr>
              <w:pStyle w:val="NormalWeb"/>
              <w:spacing w:after="0"/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bCs/>
                <w:color w:val="548DD4" w:themeColor="text2" w:themeTint="99"/>
                <w:kern w:val="1"/>
                <w:lang w:eastAsia="zh-CN" w:bidi="hi-IN"/>
              </w:rPr>
              <w:t xml:space="preserve">Domaine 6 : Dynamiques nationale et internationale </w:t>
            </w:r>
          </w:p>
          <w:p w:rsidR="00996297" w:rsidRPr="00C45864" w:rsidRDefault="003779AA" w:rsidP="00996297">
            <w:pPr>
              <w:spacing w:before="100" w:beforeAutospacing="1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 xml:space="preserve">– </w:t>
            </w: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liens et partenariats avec les structures artistiques et culturelles ;</w:t>
            </w:r>
          </w:p>
          <w:p w:rsidR="00996297" w:rsidRPr="00C45864" w:rsidRDefault="003779AA" w:rsidP="00996297">
            <w:pPr>
              <w:spacing w:before="100" w:beforeAutospacing="1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–  partenariats socio-professionnels ;</w:t>
            </w:r>
          </w:p>
          <w:p w:rsidR="00B04F05" w:rsidRPr="00C45864" w:rsidRDefault="003779AA" w:rsidP="00996297">
            <w:pPr>
              <w:spacing w:before="100" w:beforeAutospacing="1"/>
              <w:rPr>
                <w:rFonts w:asciiTheme="minorHAnsi" w:hAnsiTheme="minorHAnsi" w:cs="Times New Roman"/>
                <w:bCs/>
                <w:color w:val="000000"/>
                <w:sz w:val="24"/>
              </w:rPr>
            </w:pPr>
            <w:r w:rsidRPr="00C45864">
              <w:rPr>
                <w:rFonts w:asciiTheme="minorHAnsi" w:hAnsiTheme="minorHAnsi" w:cs="Times New Roman"/>
                <w:bCs/>
                <w:color w:val="000000"/>
                <w:sz w:val="24"/>
              </w:rPr>
              <w:t>–  partenariats institutionnels ;</w:t>
            </w:r>
          </w:p>
          <w:p w:rsidR="00996297" w:rsidRPr="00C45864" w:rsidRDefault="003779AA" w:rsidP="00581EFC">
            <w:pPr>
              <w:pStyle w:val="NormalWeb"/>
              <w:spacing w:after="0"/>
              <w:rPr>
                <w:rFonts w:asciiTheme="minorHAnsi" w:eastAsia="WenQuanYi Micro Hei" w:hAnsiTheme="minorHAnsi"/>
                <w:bCs/>
                <w:color w:val="000000"/>
                <w:kern w:val="1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bCs/>
                <w:color w:val="000000"/>
                <w:kern w:val="1"/>
                <w:lang w:eastAsia="zh-CN" w:bidi="hi-IN"/>
              </w:rPr>
              <w:t>–  relations européennes</w:t>
            </w:r>
            <w:r w:rsidRPr="00C45864">
              <w:rPr>
                <w:rFonts w:asciiTheme="minorHAnsi" w:eastAsia="WenQuanYi Micro Hei" w:hAnsiTheme="minorHAnsi"/>
                <w:bCs/>
                <w:color w:val="000000"/>
                <w:kern w:val="1"/>
                <w:lang w:eastAsia="zh-CN" w:bidi="hi-IN"/>
              </w:rPr>
              <w:t> ;</w:t>
            </w:r>
          </w:p>
          <w:p w:rsidR="0043305C" w:rsidRPr="00C45864" w:rsidRDefault="003779AA" w:rsidP="00581EFC">
            <w:pPr>
              <w:pStyle w:val="NormalWeb"/>
              <w:spacing w:after="0"/>
              <w:rPr>
                <w:rFonts w:asciiTheme="minorHAnsi" w:eastAsia="WenQuanYi Micro Hei" w:hAnsiTheme="minorHAnsi"/>
                <w:bCs/>
                <w:color w:val="000000"/>
                <w:kern w:val="1"/>
                <w:lang w:eastAsia="zh-CN" w:bidi="hi-IN"/>
              </w:rPr>
            </w:pPr>
            <w:r w:rsidRPr="00C45864">
              <w:rPr>
                <w:rFonts w:asciiTheme="minorHAnsi" w:eastAsia="WenQuanYi Micro Hei" w:hAnsiTheme="minorHAnsi"/>
                <w:bCs/>
                <w:color w:val="000000"/>
                <w:kern w:val="1"/>
                <w:lang w:eastAsia="zh-CN" w:bidi="hi-IN"/>
              </w:rPr>
              <w:t>–  relations internationales</w:t>
            </w:r>
            <w:r w:rsidRPr="00C45864">
              <w:rPr>
                <w:rFonts w:asciiTheme="minorHAnsi" w:eastAsia="WenQuanYi Micro Hei" w:hAnsiTheme="minorHAnsi"/>
                <w:bCs/>
                <w:color w:val="000000"/>
                <w:kern w:val="1"/>
                <w:lang w:eastAsia="zh-CN" w:bidi="hi-IN"/>
              </w:rPr>
              <w:t> ;</w:t>
            </w:r>
          </w:p>
          <w:p w:rsidR="00581EFC" w:rsidRPr="00C45864" w:rsidRDefault="003779AA" w:rsidP="00223A16">
            <w:pPr>
              <w:pStyle w:val="NormalWeb"/>
              <w:spacing w:after="0"/>
              <w:rPr>
                <w:rFonts w:asciiTheme="minorHAnsi" w:eastAsia="WenQuanYi Micro Hei" w:hAnsiTheme="minorHAnsi"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309" w:type="dxa"/>
          </w:tcPr>
          <w:p w:rsidR="00581EFC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</w:tc>
        <w:tc>
          <w:tcPr>
            <w:tcW w:w="284" w:type="dxa"/>
          </w:tcPr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581EFC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283" w:type="dxa"/>
          </w:tcPr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581EFC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284" w:type="dxa"/>
          </w:tcPr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581EFC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283" w:type="dxa"/>
          </w:tcPr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581EFC" w:rsidRPr="00C45864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X</w:t>
            </w:r>
          </w:p>
        </w:tc>
        <w:tc>
          <w:tcPr>
            <w:tcW w:w="4369" w:type="dxa"/>
          </w:tcPr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Etendre notre pr</w:t>
            </w:r>
            <w:r>
              <w:rPr>
                <w:rFonts w:asciiTheme="minorHAnsi" w:hAnsiTheme="minorHAnsi" w:cs="Times New Roman"/>
                <w:sz w:val="24"/>
              </w:rPr>
              <w:t>ogramme à des structures européennes</w:t>
            </w:r>
          </w:p>
          <w:p w:rsidR="00FE4455" w:rsidRDefault="003779AA" w:rsidP="00DD0689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Poursuivre le développement des liens avec les agences artistiques</w:t>
            </w:r>
          </w:p>
          <w:p w:rsidR="00FE4455" w:rsidRDefault="003779AA" w:rsidP="00FE4455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Systématiser des échanges avec d’autres opérateurs</w:t>
            </w:r>
          </w:p>
          <w:p w:rsidR="00FE4455" w:rsidRDefault="003779AA" w:rsidP="00FE4455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>Confirmer notre souhait de partenariat avec d’autres établissements européens</w:t>
            </w:r>
          </w:p>
          <w:p w:rsidR="00FE4455" w:rsidRDefault="003779AA" w:rsidP="00FE4455">
            <w:pPr>
              <w:rPr>
                <w:rFonts w:asciiTheme="minorHAnsi" w:hAnsiTheme="minorHAnsi" w:cs="Times New Roman"/>
                <w:sz w:val="24"/>
              </w:rPr>
            </w:pPr>
            <w:r>
              <w:rPr>
                <w:rFonts w:asciiTheme="minorHAnsi" w:hAnsiTheme="minorHAnsi" w:cs="Times New Roman"/>
                <w:sz w:val="24"/>
              </w:rPr>
              <w:t xml:space="preserve">Continuer la politique </w:t>
            </w:r>
            <w:r>
              <w:rPr>
                <w:rFonts w:asciiTheme="minorHAnsi" w:hAnsiTheme="minorHAnsi" w:cs="Times New Roman"/>
                <w:sz w:val="24"/>
              </w:rPr>
              <w:t>entreprise depuis de nombreuses années. Si possible en fonction des moyens, intensifier les échanges</w:t>
            </w:r>
          </w:p>
          <w:p w:rsidR="00581EFC" w:rsidRPr="00C45864" w:rsidRDefault="003779AA" w:rsidP="00FE4455">
            <w:pPr>
              <w:rPr>
                <w:rFonts w:asciiTheme="minorHAnsi" w:hAnsiTheme="minorHAnsi" w:cs="Times New Roman"/>
                <w:sz w:val="24"/>
              </w:rPr>
            </w:pPr>
          </w:p>
        </w:tc>
      </w:tr>
    </w:tbl>
    <w:p w:rsidR="009C15B2" w:rsidRPr="00C45864" w:rsidRDefault="003779AA" w:rsidP="00514A23">
      <w:pPr>
        <w:widowControl/>
        <w:suppressAutoHyphens w:val="0"/>
        <w:spacing w:before="0" w:after="200" w:line="276" w:lineRule="auto"/>
        <w:jc w:val="left"/>
        <w:rPr>
          <w:rFonts w:eastAsiaTheme="minorHAnsi" w:cs="Times New Roman"/>
          <w:kern w:val="0"/>
          <w:szCs w:val="22"/>
          <w:lang w:eastAsia="en-US" w:bidi="ar-SA"/>
        </w:rPr>
      </w:pPr>
    </w:p>
    <w:sectPr w:rsidR="009C15B2" w:rsidRPr="00C45864" w:rsidSect="00A865A9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AA" w:rsidRDefault="003779AA" w:rsidP="00EB568B">
      <w:pPr>
        <w:spacing w:before="0"/>
      </w:pPr>
      <w:r>
        <w:separator/>
      </w:r>
    </w:p>
  </w:endnote>
  <w:endnote w:type="continuationSeparator" w:id="0">
    <w:p w:rsidR="003779AA" w:rsidRDefault="003779AA" w:rsidP="00EB568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639374"/>
      <w:docPartObj>
        <w:docPartGallery w:val="Page Numbers (Bottom of Page)"/>
        <w:docPartUnique/>
      </w:docPartObj>
    </w:sdtPr>
    <w:sdtEndPr/>
    <w:sdtContent>
      <w:p w:rsidR="00C367B4" w:rsidRDefault="003779AA">
        <w:pPr>
          <w:pStyle w:val="Pieddepage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C367B4" w:rsidRPr="00217525" w:rsidRDefault="003779AA" w:rsidP="004A7C59">
    <w:pPr>
      <w:pStyle w:val="Pieddepage"/>
      <w:rPr>
        <w:i/>
        <w:sz w:val="14"/>
        <w:szCs w:val="14"/>
      </w:rPr>
    </w:pPr>
    <w:r>
      <w:rPr>
        <w:i/>
        <w:sz w:val="14"/>
        <w:szCs w:val="14"/>
      </w:rPr>
      <w:t>Procédure d’accréditation</w:t>
    </w:r>
    <w:r w:rsidRPr="00217525">
      <w:rPr>
        <w:i/>
        <w:sz w:val="14"/>
        <w:szCs w:val="14"/>
      </w:rPr>
      <w:t xml:space="preserve"> 2018-2019</w:t>
    </w:r>
    <w:r>
      <w:rPr>
        <w:i/>
        <w:sz w:val="14"/>
        <w:szCs w:val="14"/>
      </w:rPr>
      <w:tab/>
      <w:t xml:space="preserve">                                                                           M</w:t>
    </w:r>
    <w:r>
      <w:rPr>
        <w:i/>
        <w:sz w:val="14"/>
        <w:szCs w:val="14"/>
      </w:rPr>
      <w:t>inistère de la culture -  Direction générale de la création artistique - SDEESR</w:t>
    </w:r>
  </w:p>
  <w:p w:rsidR="00C367B4" w:rsidRDefault="003779AA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AA" w:rsidRDefault="003779AA" w:rsidP="00EB568B">
      <w:pPr>
        <w:spacing w:before="0"/>
      </w:pPr>
      <w:r>
        <w:separator/>
      </w:r>
    </w:p>
  </w:footnote>
  <w:footnote w:type="continuationSeparator" w:id="0">
    <w:p w:rsidR="003779AA" w:rsidRDefault="003779AA" w:rsidP="00EB568B">
      <w:pPr>
        <w:spacing w:before="0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A47"/>
    <w:multiLevelType w:val="hybridMultilevel"/>
    <w:tmpl w:val="E85495E0"/>
    <w:lvl w:ilvl="0" w:tplc="7910D34E">
      <w:start w:val="3"/>
      <w:numFmt w:val="bullet"/>
      <w:lvlText w:val="-"/>
      <w:lvlJc w:val="left"/>
      <w:pPr>
        <w:ind w:left="720" w:hanging="360"/>
      </w:pPr>
      <w:rPr>
        <w:rFonts w:ascii="Arial" w:eastAsia="WenQuanYi Micro Hei" w:hAnsi="Arial" w:cs="Arial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57094"/>
    <w:multiLevelType w:val="hybridMultilevel"/>
    <w:tmpl w:val="1BF25FAA"/>
    <w:lvl w:ilvl="0" w:tplc="D00AA3BE">
      <w:start w:val="2"/>
      <w:numFmt w:val="bullet"/>
      <w:lvlText w:val="–"/>
      <w:lvlJc w:val="left"/>
      <w:pPr>
        <w:ind w:left="720" w:hanging="360"/>
      </w:pPr>
      <w:rPr>
        <w:rFonts w:ascii="Times New Roman" w:eastAsia="WenQuanYi Micro He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4469B"/>
    <w:multiLevelType w:val="multilevel"/>
    <w:tmpl w:val="C868F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421518"/>
    <w:multiLevelType w:val="hybridMultilevel"/>
    <w:tmpl w:val="96A0124E"/>
    <w:lvl w:ilvl="0" w:tplc="7C845DC2">
      <w:start w:val="2"/>
      <w:numFmt w:val="bullet"/>
      <w:pStyle w:val="Paragraphedeliste"/>
      <w:lvlText w:val="–"/>
      <w:lvlJc w:val="left"/>
      <w:pPr>
        <w:ind w:left="720" w:hanging="360"/>
      </w:pPr>
      <w:rPr>
        <w:rFonts w:ascii="Times New Roman" w:eastAsia="WenQuanYi Micro He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A3581"/>
    <w:multiLevelType w:val="hybridMultilevel"/>
    <w:tmpl w:val="61A43860"/>
    <w:lvl w:ilvl="0" w:tplc="FB6AB1D8">
      <w:start w:val="2"/>
      <w:numFmt w:val="bullet"/>
      <w:lvlText w:val="-"/>
      <w:lvlJc w:val="left"/>
      <w:pPr>
        <w:ind w:left="720" w:hanging="360"/>
      </w:pPr>
      <w:rPr>
        <w:rFonts w:ascii="Times New Roman" w:eastAsia="WenQuanYi Micro Hei" w:hAnsi="Times New Roman" w:cs="Times New Roman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C5D28"/>
    <w:multiLevelType w:val="hybridMultilevel"/>
    <w:tmpl w:val="D6FC0B20"/>
    <w:lvl w:ilvl="0" w:tplc="2A22B0CC">
      <w:start w:val="1"/>
      <w:numFmt w:val="decimal"/>
      <w:lvlText w:val="%1-"/>
      <w:lvlJc w:val="left"/>
      <w:pPr>
        <w:ind w:left="720" w:hanging="360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C6127"/>
    <w:multiLevelType w:val="hybridMultilevel"/>
    <w:tmpl w:val="FA400A4C"/>
    <w:lvl w:ilvl="0" w:tplc="CA582BAE">
      <w:start w:val="3"/>
      <w:numFmt w:val="bullet"/>
      <w:lvlText w:val="-"/>
      <w:lvlJc w:val="left"/>
      <w:pPr>
        <w:ind w:left="720" w:hanging="360"/>
      </w:pPr>
      <w:rPr>
        <w:rFonts w:ascii="Times New Roman" w:eastAsia="WenQuanYi Micro Hei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56A03"/>
    <w:multiLevelType w:val="hybridMultilevel"/>
    <w:tmpl w:val="9D401F34"/>
    <w:lvl w:ilvl="0" w:tplc="E57AF74A">
      <w:start w:val="2"/>
      <w:numFmt w:val="bullet"/>
      <w:lvlText w:val="-"/>
      <w:lvlJc w:val="left"/>
      <w:pPr>
        <w:ind w:left="720" w:hanging="360"/>
      </w:pPr>
      <w:rPr>
        <w:rFonts w:ascii="Times New Roman" w:eastAsia="WenQuanYi Micro He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224C3"/>
    <w:multiLevelType w:val="hybridMultilevel"/>
    <w:tmpl w:val="D2361B20"/>
    <w:lvl w:ilvl="0" w:tplc="E50E0974">
      <w:numFmt w:val="bullet"/>
      <w:lvlText w:val="-"/>
      <w:lvlJc w:val="left"/>
      <w:pPr>
        <w:ind w:left="720" w:hanging="360"/>
      </w:pPr>
      <w:rPr>
        <w:rFonts w:ascii="Calibri" w:eastAsia="WenQuanYi Micro He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E6D"/>
    <w:rsid w:val="003779AA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E6D"/>
    <w:pPr>
      <w:widowControl w:val="0"/>
      <w:suppressAutoHyphens/>
      <w:spacing w:before="120" w:after="0" w:line="240" w:lineRule="auto"/>
      <w:jc w:val="both"/>
    </w:pPr>
    <w:rPr>
      <w:rFonts w:eastAsia="WenQuanYi Micro Hei" w:cs="Lohit Hindi"/>
      <w:kern w:val="1"/>
      <w:szCs w:val="24"/>
      <w:lang w:eastAsia="zh-CN" w:bidi="hi-IN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4350B7"/>
    <w:pPr>
      <w:widowControl/>
      <w:numPr>
        <w:numId w:val="8"/>
      </w:numPr>
      <w:suppressAutoHyphens w:val="0"/>
      <w:spacing w:before="100" w:beforeAutospacing="1" w:after="142" w:line="288" w:lineRule="auto"/>
      <w:ind w:left="176" w:hanging="142"/>
      <w:contextualSpacing/>
      <w:jc w:val="left"/>
    </w:pPr>
    <w:rPr>
      <w:rFonts w:ascii="Calibri" w:eastAsiaTheme="minorHAnsi" w:hAnsi="Calibri" w:cs="Times New Roman"/>
      <w:bCs/>
      <w:kern w:val="0"/>
      <w:sz w:val="24"/>
      <w:szCs w:val="22"/>
      <w:lang w:eastAsia="en-US" w:bidi="ar-SA"/>
    </w:rPr>
  </w:style>
  <w:style w:type="table" w:customStyle="1" w:styleId="Grilledutableau1">
    <w:name w:val="Grille du tableau1"/>
    <w:basedOn w:val="TableauNormal"/>
    <w:next w:val="Grille"/>
    <w:uiPriority w:val="99"/>
    <w:rsid w:val="00707E6D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uiPriority w:val="59"/>
    <w:rsid w:val="0070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590F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0FC5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0FC5"/>
    <w:rPr>
      <w:rFonts w:eastAsia="WenQuanYi Micro Hei" w:cs="Mangal"/>
      <w:kern w:val="1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0F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0FC5"/>
    <w:rPr>
      <w:rFonts w:eastAsia="WenQuanYi Micro Hei" w:cs="Mangal"/>
      <w:b/>
      <w:bCs/>
      <w:kern w:val="1"/>
      <w:sz w:val="20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FC5"/>
    <w:pPr>
      <w:spacing w:before="0"/>
    </w:pPr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FC5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qFormat/>
    <w:rsid w:val="008C23F4"/>
    <w:pPr>
      <w:widowControl/>
      <w:suppressAutoHyphens w:val="0"/>
      <w:spacing w:before="0" w:beforeAutospacing="1" w:after="119" w:line="254" w:lineRule="auto"/>
      <w:jc w:val="left"/>
    </w:pPr>
    <w:rPr>
      <w:rFonts w:ascii="Times New Roman" w:eastAsia="Times New Roman" w:hAnsi="Times New Roman" w:cs="Times New Roman"/>
      <w:color w:val="00000A"/>
      <w:kern w:val="0"/>
      <w:sz w:val="24"/>
      <w:lang w:eastAsia="fr-FR" w:bidi="ar-SA"/>
    </w:rPr>
  </w:style>
  <w:style w:type="paragraph" w:customStyle="1" w:styleId="western">
    <w:name w:val="western"/>
    <w:basedOn w:val="Normal"/>
    <w:rsid w:val="008152C3"/>
    <w:pPr>
      <w:widowControl/>
      <w:suppressAutoHyphens w:val="0"/>
      <w:spacing w:before="100" w:beforeAutospacing="1" w:after="142" w:line="288" w:lineRule="auto"/>
      <w:jc w:val="left"/>
    </w:pPr>
    <w:rPr>
      <w:rFonts w:ascii="Calibri" w:eastAsia="Times New Roman" w:hAnsi="Calibri" w:cs="Calibri"/>
      <w:color w:val="00000A"/>
      <w:kern w:val="0"/>
      <w:szCs w:val="22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EB568B"/>
    <w:pPr>
      <w:tabs>
        <w:tab w:val="center" w:pos="4536"/>
        <w:tab w:val="right" w:pos="9072"/>
      </w:tabs>
      <w:spacing w:before="0"/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EB568B"/>
    <w:rPr>
      <w:rFonts w:eastAsia="WenQuanYi Micro Hei" w:cs="Mangal"/>
      <w:kern w:val="1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EB568B"/>
    <w:pPr>
      <w:tabs>
        <w:tab w:val="center" w:pos="4536"/>
        <w:tab w:val="right" w:pos="9072"/>
      </w:tabs>
      <w:spacing w:before="0"/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EB568B"/>
    <w:rPr>
      <w:rFonts w:eastAsia="WenQuanYi Micro Hei" w:cs="Mangal"/>
      <w:kern w:val="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866</Words>
  <Characters>4940</Characters>
  <Application>Microsoft Macintosh Word</Application>
  <DocSecurity>0</DocSecurity>
  <Lines>41</Lines>
  <Paragraphs>9</Paragraphs>
  <ScaleCrop>false</ScaleCrop>
  <Company>Ministere de l'Education Nationale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Catherine Gravy</cp:lastModifiedBy>
  <cp:revision>3</cp:revision>
  <cp:lastPrinted>2018-01-24T16:53:00Z</cp:lastPrinted>
  <dcterms:created xsi:type="dcterms:W3CDTF">2019-04-04T19:49:00Z</dcterms:created>
  <dcterms:modified xsi:type="dcterms:W3CDTF">2019-04-04T19:50:00Z</dcterms:modified>
</cp:coreProperties>
</file>