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98" w:rsidRPr="00914698" w:rsidRDefault="00914698" w:rsidP="00914698">
      <w:pPr>
        <w:pStyle w:val="Titre1"/>
        <w:jc w:val="center"/>
        <w:rPr>
          <w:color w:val="002060"/>
          <w:lang w:eastAsia="en-US"/>
        </w:rPr>
      </w:pPr>
      <w:r w:rsidRPr="00914698">
        <w:rPr>
          <w:color w:val="002060"/>
          <w:lang w:eastAsia="en-US"/>
        </w:rPr>
        <w:t>CNESERAC - commission Recherche</w:t>
      </w:r>
    </w:p>
    <w:p w:rsidR="00914698" w:rsidRPr="00914698" w:rsidRDefault="00914698" w:rsidP="00914698">
      <w:pPr>
        <w:pStyle w:val="Titre1"/>
        <w:jc w:val="center"/>
        <w:rPr>
          <w:color w:val="002060"/>
          <w:lang w:eastAsia="en-US"/>
        </w:rPr>
      </w:pPr>
      <w:r w:rsidRPr="00914698">
        <w:rPr>
          <w:color w:val="002060"/>
          <w:lang w:eastAsia="en-US"/>
        </w:rPr>
        <w:t>Compte-rendu de la réunion du 19/09/2019</w:t>
      </w: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F3019A" w:rsidRDefault="00914698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 xml:space="preserve">Présents </w:t>
      </w:r>
    </w:p>
    <w:p w:rsidR="00914698" w:rsidRPr="00F3019A" w:rsidRDefault="00F3019A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Bidi"/>
          <w:color w:val="002060"/>
          <w:sz w:val="18"/>
          <w:szCs w:val="18"/>
          <w:lang w:eastAsia="en-US"/>
        </w:rPr>
        <w:t>SNAC-</w:t>
      </w:r>
      <w:r w:rsidR="00914698"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FSU</w:t>
      </w:r>
    </w:p>
    <w:p w:rsidR="00914698" w:rsidRPr="00F3019A" w:rsidRDefault="00914698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 xml:space="preserve">Clotilde BOUST, </w:t>
      </w: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 xml:space="preserve">représentante </w:t>
      </w: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corps de recherche, C2RMF</w:t>
      </w:r>
    </w:p>
    <w:p w:rsidR="00914698" w:rsidRPr="00F3019A" w:rsidRDefault="00914698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Gaëlle ROBERT, représentante corps de recherche, INRAP</w:t>
      </w:r>
    </w:p>
    <w:p w:rsidR="00914698" w:rsidRPr="00F3019A" w:rsidRDefault="00914698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Patricia MARY, représentante corps de conservation, DGP-SP</w:t>
      </w:r>
    </w:p>
    <w:p w:rsidR="00914698" w:rsidRPr="00F3019A" w:rsidRDefault="00914698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</w:p>
    <w:p w:rsidR="00914698" w:rsidRPr="00F3019A" w:rsidRDefault="00F3019A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Bidi"/>
          <w:color w:val="002060"/>
          <w:sz w:val="18"/>
          <w:szCs w:val="18"/>
          <w:lang w:eastAsia="en-US"/>
        </w:rPr>
        <w:t>A</w:t>
      </w:r>
      <w:r w:rsidR="00914698"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dministration :</w:t>
      </w:r>
    </w:p>
    <w:p w:rsidR="00914698" w:rsidRPr="00F3019A" w:rsidRDefault="00914698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Maryline LAPLACE, cheffe du service de la coordination des politiques culturelles et de l'innovation (SCPCI-SG)</w:t>
      </w:r>
    </w:p>
    <w:p w:rsidR="00914698" w:rsidRDefault="00914698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Astrid BRANDT-GRAU, cheffe du département de l'enseignement supérieur de la recherche et de la technologie (DESRT-SCPCI-SG)</w:t>
      </w:r>
    </w:p>
    <w:p w:rsidR="00F3019A" w:rsidRPr="00F3019A" w:rsidRDefault="00F3019A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</w:p>
    <w:p w:rsidR="00914698" w:rsidRPr="00F3019A" w:rsidRDefault="00F3019A" w:rsidP="00914698">
      <w:pPr>
        <w:rPr>
          <w:rFonts w:asciiTheme="minorHAnsi" w:hAnsiTheme="minorHAnsi" w:cstheme="minorBidi"/>
          <w:color w:val="002060"/>
          <w:sz w:val="18"/>
          <w:szCs w:val="18"/>
          <w:lang w:eastAsia="en-US"/>
        </w:rPr>
      </w:pPr>
      <w:r w:rsidRPr="00F3019A">
        <w:rPr>
          <w:rFonts w:asciiTheme="minorHAnsi" w:hAnsiTheme="minorHAnsi" w:cstheme="minorBidi"/>
          <w:color w:val="002060"/>
          <w:sz w:val="18"/>
          <w:szCs w:val="18"/>
          <w:lang w:eastAsia="en-US"/>
        </w:rPr>
        <w:t>Autres présents : en attente de la communication de la liste par l’administration</w:t>
      </w:r>
    </w:p>
    <w:p w:rsidR="00F3019A" w:rsidRPr="00914698" w:rsidRDefault="00F3019A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L’ordre du jour officiel est rappelé ci-dessous n’a pas été réellement respecté. L’objectif annoncé était de rédiger une « résolution » à présenter au prochain CNESERAC.</w:t>
      </w: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CNESERAC.</w:t>
      </w: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Astrid Brandt-Grau a énuméré les objectifs suivants :</w:t>
      </w:r>
    </w:p>
    <w:p w:rsidR="00914698" w:rsidRPr="00B328BF" w:rsidRDefault="00914698" w:rsidP="00914698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</w:pP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Elaborer une stratégie Culture</w:t>
      </w:r>
    </w:p>
    <w:p w:rsidR="00914698" w:rsidRPr="00B328BF" w:rsidRDefault="00914698" w:rsidP="00914698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</w:pP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S’insérer dans la loi de programmation pluriannuelle de la recherche</w:t>
      </w:r>
    </w:p>
    <w:p w:rsidR="00914698" w:rsidRPr="00B328BF" w:rsidRDefault="00914698" w:rsidP="00914698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</w:pP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Garder les spécificités Culture</w:t>
      </w:r>
    </w:p>
    <w:p w:rsidR="00914698" w:rsidRPr="00B328BF" w:rsidRDefault="00914698" w:rsidP="00914698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</w:pP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Se saisir du sujet GPRH avec le SRH</w:t>
      </w: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Elle a même parlé de 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modifier le décret de création du ministère de la Culture</w:t>
      </w: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en y insérant des</w:t>
      </w:r>
      <w:r w:rsid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missions de recherche.</w:t>
      </w: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Les représentants syndicaux ont globalement été les plus incisifs, notamment sur la question de la gestion RH des corps de recherche.</w:t>
      </w: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Les paroles juxtaposées des uns et des autres convergeaient sur certains thèmes :</w:t>
      </w:r>
    </w:p>
    <w:p w:rsidR="00914698" w:rsidRPr="00914698" w:rsidRDefault="00914698" w:rsidP="00914698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proofErr w:type="gramStart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problèmes</w:t>
      </w:r>
      <w:proofErr w:type="gramEnd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 xml:space="preserve"> de statut des chercheurs</w:t>
      </w: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, notamment vis-à-vis des chercheurs/enseignants-chercheurs universitaires et écoles d’art</w:t>
      </w:r>
    </w:p>
    <w:p w:rsidR="00914698" w:rsidRPr="00914698" w:rsidRDefault="00914698" w:rsidP="00914698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proofErr w:type="gramStart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reconnaissance</w:t>
      </w:r>
      <w:proofErr w:type="gramEnd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 xml:space="preserve"> de la recherche Culture</w:t>
      </w: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, déconsidérée même par les autres sciences humaines/« molles »</w:t>
      </w:r>
    </w:p>
    <w:p w:rsidR="00914698" w:rsidRPr="00914698" w:rsidRDefault="00914698" w:rsidP="00914698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proofErr w:type="gramStart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diffusion</w:t>
      </w:r>
      <w:proofErr w:type="gramEnd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 xml:space="preserve"> </w:t>
      </w:r>
      <w:r w:rsidR="00B328BF"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au public/usagers</w:t>
      </w:r>
      <w:r w:rsid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, </w:t>
      </w: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sur des portails et données ouvertes</w:t>
      </w:r>
    </w:p>
    <w:p w:rsidR="00914698" w:rsidRPr="00B328BF" w:rsidRDefault="00914698" w:rsidP="00914698">
      <w:pPr>
        <w:pStyle w:val="Paragraphedeliste"/>
        <w:numPr>
          <w:ilvl w:val="0"/>
          <w:numId w:val="2"/>
        </w:numPr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</w:pPr>
      <w:proofErr w:type="gramStart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évaluation</w:t>
      </w:r>
      <w:proofErr w:type="gramEnd"/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 xml:space="preserve"> et indicateurs de performance</w:t>
      </w:r>
    </w:p>
    <w:p w:rsid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F3019A" w:rsidRDefault="00F3019A" w:rsidP="00F3019A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Le SNAC-FSU a porté des constats et revendications sur les 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 xml:space="preserve">corps de recherche Culture </w:t>
      </w:r>
      <w:r w:rsidRP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(extinction de certains corps, impossibilité de mobilité, statut inférieur aux universitaires pour des missions équivalentes),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 xml:space="preserve"> la recherche empêchée </w:t>
      </w:r>
      <w:r w:rsidRP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et le fait que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 xml:space="preserve"> l’enseignement supérieur Culture soit incapable de former à la recherche</w:t>
      </w:r>
      <w:r w:rsidRP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, voire de former initialement, les corps de recherche et scientifiques du ministère de la Culture</w:t>
      </w: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.</w:t>
      </w:r>
    </w:p>
    <w:p w:rsidR="00F3019A" w:rsidRPr="00914698" w:rsidRDefault="00F3019A" w:rsidP="00F3019A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F3019A" w:rsidRDefault="00F3019A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>Propositions fortes :</w:t>
      </w:r>
    </w:p>
    <w:p w:rsidR="00F3019A" w:rsidRDefault="00914698" w:rsidP="00F3019A">
      <w:pPr>
        <w:pStyle w:val="Paragraphedeliste"/>
        <w:ind w:left="0"/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F3019A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Nicole PHOYU-YEDID (DRAC Pays-de-Loire) a suggéré de demander 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une inspection conjointe interministérielle IGF-IGAENR-IGAC</w:t>
      </w:r>
      <w:r w:rsidRPr="00F3019A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sur la recherche Culture en s’inspirant de ce qui</w:t>
      </w:r>
      <w:r w:rsidR="00F3019A" w:rsidRPr="00F3019A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a</w:t>
      </w:r>
      <w:r w:rsidRPr="00F3019A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été fait </w:t>
      </w:r>
      <w:r w:rsidR="00F3019A" w:rsidRPr="00F3019A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avec succès </w:t>
      </w:r>
      <w:r w:rsidRPr="00F3019A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pour les DRAC face au risque de disparition qui les menaçait.</w:t>
      </w:r>
    </w:p>
    <w:p w:rsidR="00B328BF" w:rsidRDefault="00B328BF" w:rsidP="00F3019A">
      <w:pPr>
        <w:pStyle w:val="Paragraphedeliste"/>
        <w:ind w:left="0"/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F3019A" w:rsidRDefault="00F3019A" w:rsidP="00F3019A">
      <w:pPr>
        <w:pStyle w:val="Paragraphedeliste"/>
        <w:ind w:left="0"/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lastRenderedPageBreak/>
        <w:t>Astrid Brandt-Grau</w:t>
      </w:r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a suggéré d’impliquer des parlementaires, notamment :</w:t>
      </w:r>
    </w:p>
    <w:p w:rsidR="00F3019A" w:rsidRDefault="00F3019A" w:rsidP="00F3019A">
      <w:pPr>
        <w:pStyle w:val="Paragraphedeliste"/>
        <w:ind w:left="0"/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>-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l’Office parlementaire d'évaluation des choix scientifiques et technologiques (OPECST)</w:t>
      </w:r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qui est déjà intervenu sur des questions Culture (voir le rapport de Christian </w:t>
      </w:r>
      <w:proofErr w:type="spellStart"/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>Kert</w:t>
      </w:r>
      <w:proofErr w:type="spellEnd"/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en 2003 sur </w:t>
      </w:r>
      <w:hyperlink r:id="rId5" w:history="1">
        <w:r w:rsidRPr="00F3019A">
          <w:rPr>
            <w:rStyle w:val="Lienhypertexte"/>
            <w:rFonts w:asciiTheme="minorHAnsi" w:hAnsiTheme="minorHAnsi" w:cstheme="minorBidi"/>
            <w:sz w:val="22"/>
            <w:szCs w:val="22"/>
            <w:lang w:eastAsia="en-US"/>
          </w:rPr>
          <w:t>Les techniques de restauration des œuvres d'art et la protection du patrimoine face aux attaques du vieillissement et des pollutions</w:t>
        </w:r>
      </w:hyperlink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>)</w:t>
      </w:r>
    </w:p>
    <w:p w:rsidR="00F3019A" w:rsidRPr="00F3019A" w:rsidRDefault="00F3019A" w:rsidP="00F3019A">
      <w:pPr>
        <w:pStyle w:val="Paragraphedeliste"/>
        <w:ind w:left="0"/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- la 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Commission des affaires culturelles et de l'éducation</w:t>
      </w:r>
      <w:r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, qui est </w:t>
      </w:r>
      <w:r w:rsid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également intervenu avec succès sur des questions de recherche en architecture sur la base du </w:t>
      </w:r>
      <w:hyperlink r:id="rId6" w:history="1">
        <w:r w:rsidR="00B328BF" w:rsidRPr="00B328BF">
          <w:rPr>
            <w:rStyle w:val="Lienhypertexte"/>
            <w:rFonts w:asciiTheme="minorHAnsi" w:hAnsiTheme="minorHAnsi" w:cstheme="minorBidi"/>
            <w:sz w:val="22"/>
            <w:szCs w:val="22"/>
            <w:lang w:eastAsia="en-US"/>
          </w:rPr>
          <w:t xml:space="preserve">rapport de Vincent </w:t>
        </w:r>
        <w:proofErr w:type="spellStart"/>
        <w:r w:rsidR="00B328BF" w:rsidRPr="00B328BF">
          <w:rPr>
            <w:rStyle w:val="Lienhypertexte"/>
            <w:rFonts w:asciiTheme="minorHAnsi" w:hAnsiTheme="minorHAnsi" w:cstheme="minorBidi"/>
            <w:sz w:val="22"/>
            <w:szCs w:val="22"/>
            <w:lang w:eastAsia="en-US"/>
          </w:rPr>
          <w:t>Feltesse</w:t>
        </w:r>
        <w:proofErr w:type="spellEnd"/>
        <w:r w:rsidR="00B328BF" w:rsidRPr="00B328BF">
          <w:rPr>
            <w:rStyle w:val="Lienhypertexte"/>
            <w:rFonts w:asciiTheme="minorHAnsi" w:hAnsiTheme="minorHAnsi" w:cstheme="minorBidi"/>
            <w:sz w:val="22"/>
            <w:szCs w:val="22"/>
            <w:lang w:eastAsia="en-US"/>
          </w:rPr>
          <w:t>, président de la concertation sur l’enseignement et la recherche en architecture</w:t>
        </w:r>
      </w:hyperlink>
      <w:r w:rsid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en</w:t>
      </w:r>
      <w:r w:rsidR="00B328BF" w:rsidRPr="00B328BF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 2013</w:t>
      </w: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</w:p>
    <w:p w:rsidR="00914698" w:rsidRPr="00914698" w:rsidRDefault="00914698" w:rsidP="00914698">
      <w:pPr>
        <w:rPr>
          <w:rFonts w:asciiTheme="minorHAnsi" w:hAnsiTheme="minorHAnsi" w:cstheme="minorBidi"/>
          <w:color w:val="002060"/>
          <w:sz w:val="22"/>
          <w:szCs w:val="22"/>
          <w:lang w:eastAsia="en-US"/>
        </w:rPr>
      </w:pP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 xml:space="preserve">Nous sommes invités à </w:t>
      </w:r>
      <w:r w:rsidRPr="00B328BF">
        <w:rPr>
          <w:rFonts w:asciiTheme="minorHAnsi" w:hAnsiTheme="minorHAnsi" w:cstheme="minorBidi"/>
          <w:b/>
          <w:color w:val="002060"/>
          <w:sz w:val="22"/>
          <w:szCs w:val="22"/>
          <w:lang w:eastAsia="en-US"/>
        </w:rPr>
        <w:t>envoyer nos contributions pour début octobre</w:t>
      </w:r>
      <w:r w:rsidRPr="00914698">
        <w:rPr>
          <w:rFonts w:asciiTheme="minorHAnsi" w:hAnsiTheme="minorHAnsi" w:cstheme="minorBidi"/>
          <w:color w:val="002060"/>
          <w:sz w:val="22"/>
          <w:szCs w:val="22"/>
          <w:lang w:eastAsia="en-US"/>
        </w:rPr>
        <w:t>. L’idée est que tous ceux qui le souhaitent rédigent une partie et que l’on assemble le tout en un texte cohérent que l’on fera tourner.</w:t>
      </w:r>
      <w:bookmarkStart w:id="0" w:name="_GoBack"/>
      <w:bookmarkEnd w:id="0"/>
    </w:p>
    <w:p w:rsidR="009E2777" w:rsidRPr="00914698" w:rsidRDefault="009E2777">
      <w:pPr>
        <w:rPr>
          <w:color w:val="002060"/>
        </w:rPr>
      </w:pPr>
    </w:p>
    <w:sectPr w:rsidR="009E2777" w:rsidRPr="0091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7EA5"/>
    <w:multiLevelType w:val="hybridMultilevel"/>
    <w:tmpl w:val="6DC6D78C"/>
    <w:lvl w:ilvl="0" w:tplc="3404E4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FE0"/>
    <w:multiLevelType w:val="hybridMultilevel"/>
    <w:tmpl w:val="3A4CBFCC"/>
    <w:lvl w:ilvl="0" w:tplc="1BB424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98"/>
    <w:rsid w:val="00807DAE"/>
    <w:rsid w:val="00914698"/>
    <w:rsid w:val="009E2777"/>
    <w:rsid w:val="00B328BF"/>
    <w:rsid w:val="00F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AC4A"/>
  <w15:chartTrackingRefBased/>
  <w15:docId w15:val="{C196CD17-8937-4E5F-ABCF-FEF4F26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9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14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698"/>
    <w:pPr>
      <w:ind w:left="720"/>
    </w:pPr>
  </w:style>
  <w:style w:type="paragraph" w:styleId="Titre">
    <w:name w:val="Title"/>
    <w:basedOn w:val="Normal"/>
    <w:next w:val="Normal"/>
    <w:link w:val="TitreCar"/>
    <w:uiPriority w:val="10"/>
    <w:qFormat/>
    <w:rsid w:val="009146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469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14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F30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gouv.fr/content/download/115682/1314922/version/1/file/201304_Rapport_Concertation-ESR-architecture%20.pdf" TargetMode="External"/><Relationship Id="rId5" Type="http://schemas.openxmlformats.org/officeDocument/2006/relationships/hyperlink" Target="http://www.assemblee-nationale.fr/12/rap-off/i3167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Patricia</dc:creator>
  <cp:keywords/>
  <dc:description/>
  <cp:lastModifiedBy>MARY Patricia</cp:lastModifiedBy>
  <cp:revision>1</cp:revision>
  <dcterms:created xsi:type="dcterms:W3CDTF">2019-09-25T09:09:00Z</dcterms:created>
  <dcterms:modified xsi:type="dcterms:W3CDTF">2019-09-26T14:08:00Z</dcterms:modified>
</cp:coreProperties>
</file>